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17732">
      <w:pPr>
        <w:pStyle w:val="69"/>
        <w:rPr>
          <w:rFonts w:hint="eastAsia"/>
        </w:rPr>
        <w:sectPr>
          <w:headerReference r:id="rId4" w:type="first"/>
          <w:headerReference r:id="rId3" w:type="even"/>
          <w:footerReference r:id="rId5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</wp:posOffset>
                </wp:positionV>
                <wp:extent cx="2084070" cy="792480"/>
                <wp:effectExtent l="5080" t="4445" r="6350" b="2222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F17174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DB2</w:t>
                            </w: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  <w:lang w:val="en-US" w:eastAsia="zh-CN"/>
                              </w:rPr>
                              <w:t>1122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0.85pt;margin-top:2.85pt;height:62.4pt;width:164.1pt;z-index:251668480;mso-width-relative:page;mso-height-relative:page;" fillcolor="#FFFFFF" filled="t" stroked="t" coordsize="21600,21600" o:gfxdata="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reTV2AAAAAkBAAAPAAAAAAAAAAEAIAAAACIA&#10;AABkcnMvZG93bnJldi54bWxQSwECFAAUAAAACACHTuJAXrlGkwkCAAA4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AF17174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DB2</w:t>
                      </w:r>
                      <w:r>
                        <w:rPr>
                          <w:rFonts w:hint="eastAsia"/>
                          <w:b/>
                          <w:sz w:val="84"/>
                          <w:szCs w:val="84"/>
                          <w:lang w:val="en-US" w:eastAsia="zh-CN"/>
                        </w:rPr>
                        <w:t>1122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8726805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.85pt;margin-top:687.15pt;height:0pt;width:482pt;z-index:251667456;mso-width-relative:page;mso-height-relative:page;" filled="f" stroked="t" coordsize="21600,21600" o:allowincell="f" o:gfxdata="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sJkydUA&#10;AAALAQAADwAAAAAAAAABACAAAAAiAAAAZHJzL2Rvd25yZXYueG1sUEsBAhQAFAAAAAgAh07iQGKW&#10;QNvpAQAA3QMAAA4AAAAAAAAAAQAgAAAAJAEAAGRycy9lMm9Eb2MueG1sUEsFBgAAAAAGAAYAWQEA&#10;AH8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6432;mso-width-relative:page;mso-height-relative:page;" filled="f" stroked="t" coordsize="21600,21600" o:allowincell="f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/Eor7UAAAA&#10;CAEAAA8AAAAAAAAAAQAgAAAAIgAAAGRycy9kb3ducmV2LnhtbFBLAQIUABQAAAAIAIdO4kAQfUry&#10;6AEAAN0DAAAOAAAAAAAAAAEAIAAAACMBAABkcnMvZTJvRG9jLnhtbFBLBQYAAAAABgAGAFkBAAB9&#10;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8915400</wp:posOffset>
                </wp:positionV>
                <wp:extent cx="6120130" cy="738505"/>
                <wp:effectExtent l="0" t="0" r="13970" b="4445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34CE77">
                            <w:pPr>
                              <w:pStyle w:val="59"/>
                              <w:spacing w:line="12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铁岭市市场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监督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Style w:val="58"/>
                              </w:rPr>
                              <w:t xml:space="preserve"> </w:t>
                            </w:r>
                            <w:r>
                              <w:rPr>
                                <w:rStyle w:val="58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02pt;height:58.15pt;width:481.9pt;mso-position-horizontal-relative:margin;mso-position-vertical-relative:margin;z-index:251665408;mso-width-relative:page;mso-height-relative:page;" fillcolor="#FFFFFF" filled="t" stroked="f" coordsize="21600,21600" o:allowincell="f" o:gfxdata="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0IjiNgAAAAKAQAADwAAAAAAAAABACAAAAAiAAAAZHJzL2Rvd25yZXYueG1sUEsB&#10;AhQAFAAAAAgAh07iQNkTEHi8AQAAmAMAAA4AAAAAAAAAAQAgAAAAJw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A34CE77">
                      <w:pPr>
                        <w:pStyle w:val="59"/>
                        <w:spacing w:line="12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铁岭市市场</w:t>
                      </w:r>
                      <w:r>
                        <w:rPr>
                          <w:rFonts w:hint="eastAsia"/>
                          <w:sz w:val="28"/>
                        </w:rPr>
                        <w:t>监督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</w:rPr>
                        <w:t>局</w:t>
                      </w:r>
                      <w:r>
                        <w:rPr>
                          <w:rStyle w:val="58"/>
                        </w:rPr>
                        <w:t xml:space="preserve"> </w:t>
                      </w:r>
                      <w:r>
                        <w:rPr>
                          <w:rStyle w:val="58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margin">
                  <wp:posOffset>3920490</wp:posOffset>
                </wp:positionH>
                <wp:positionV relativeFrom="margin">
                  <wp:posOffset>8400415</wp:posOffset>
                </wp:positionV>
                <wp:extent cx="2124710" cy="312420"/>
                <wp:effectExtent l="0" t="0" r="889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A0078">
                            <w:pPr>
                              <w:pStyle w:val="89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8.7pt;margin-top:661.45pt;height:24.6pt;width:167.3pt;mso-position-horizontal-relative:margin;mso-position-vertical-relative:margin;z-index:251664384;mso-width-relative:page;mso-height-relative:page;" fillcolor="#FFFFFF" filled="t" stroked="f" coordsize="21600,21600" o:allowincell="f" o:gfxdata="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nov/NoAAAANAQAADwAAAAAAAAABACAA&#10;AAAiAAAAZHJzL2Rvd25yZXYueG1sUEsBAhQAFAAAAAgAh07iQG82kjfSAQAAvQMAAA4AAAAAAAAA&#10;AQAgAAAAKQEAAGRycy9lMm9Eb2MueG1sUEsFBgAAAAAGAAYAWQEAAG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E3A0078">
                      <w:pPr>
                        <w:pStyle w:val="89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053BB4">
                            <w:pPr>
                              <w:pStyle w:val="60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55pt;margin-top:661.45pt;height:24.6pt;width:159pt;mso-position-horizontal-relative:margin;mso-position-vertical-relative:margin;z-index:251663360;mso-width-relative:page;mso-height-relative:page;" fillcolor="#FFFFFF" filled="t" stroked="f" coordsize="21600,21600" o:allowincell="f" o:gfxdata="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gWBS2AAAAAsBAAAPAAAAAAAAAAEAIAAAACIAAABkcnMvZG93bnJldi54bWxQ&#10;SwECFAAUAAAACACHTuJA+h4SHr4BAACY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4053BB4">
                      <w:pPr>
                        <w:pStyle w:val="60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3863340</wp:posOffset>
                </wp:positionV>
                <wp:extent cx="5969000" cy="4418330"/>
                <wp:effectExtent l="0" t="0" r="12700" b="127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2B20B">
                            <w:pPr>
                              <w:pStyle w:val="64"/>
                            </w:pPr>
                            <w:r>
                              <w:rPr>
                                <w:rFonts w:hint="eastAsia"/>
                              </w:rPr>
                              <w:t>昌图出口花生生产管控技术规程</w:t>
                            </w:r>
                          </w:p>
                          <w:p w14:paraId="71948015">
                            <w:pPr>
                              <w:pStyle w:val="65"/>
                            </w:pPr>
                          </w:p>
                          <w:p w14:paraId="3634F007">
                            <w:pPr>
                              <w:pStyle w:val="65"/>
                            </w:pPr>
                          </w:p>
                          <w:p w14:paraId="58180161">
                            <w:pPr>
                              <w:pStyle w:val="65"/>
                            </w:pPr>
                          </w:p>
                          <w:p w14:paraId="7A564D08">
                            <w:pPr>
                              <w:pStyle w:val="65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5.25pt;margin-top:304.2pt;height:347.9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+m6V2AAAAAsBAAAPAAAAAAAAAAEAIAAAACIAAABkcnMvZG93bnJldi54&#10;bWxQSwECFAAUAAAACACHTuJAPLvHlsEBAACZ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5A2B20B">
                      <w:pPr>
                        <w:pStyle w:val="64"/>
                      </w:pPr>
                      <w:r>
                        <w:rPr>
                          <w:rFonts w:hint="eastAsia"/>
                        </w:rPr>
                        <w:t>昌图出口花生生产管控技术规程</w:t>
                      </w:r>
                    </w:p>
                    <w:p w14:paraId="71948015">
                      <w:pPr>
                        <w:pStyle w:val="65"/>
                      </w:pPr>
                    </w:p>
                    <w:p w14:paraId="3634F007">
                      <w:pPr>
                        <w:pStyle w:val="65"/>
                      </w:pPr>
                    </w:p>
                    <w:p w14:paraId="58180161">
                      <w:pPr>
                        <w:pStyle w:val="65"/>
                      </w:pPr>
                    </w:p>
                    <w:p w14:paraId="7A564D08">
                      <w:pPr>
                        <w:pStyle w:val="65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报批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1519555</wp:posOffset>
                </wp:positionV>
                <wp:extent cx="6000750" cy="543560"/>
                <wp:effectExtent l="0" t="0" r="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980978">
                            <w:pPr>
                              <w:pStyle w:val="61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DB 21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t>/T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t>—20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.55pt;margin-top:119.65pt;height:42.8pt;width:472.5pt;mso-position-horizontal-relative:margin;mso-position-vertical-relative:margin;z-index:251661312;mso-width-relative:page;mso-height-relative:page;" fillcolor="#FFFFFF" filled="t" stroked="f" coordsize="21600,21600" o:allowincell="f" o:gfxdata="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fkfKLZAAAACQEAAA8AAAAAAAAAAQAgAAAAIgAAAGRycy9kb3ducmV2Lnht&#10;bFBLAQIUABQAAAAIAIdO4kCWHzHlvwEAAJg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2980978">
                      <w:pPr>
                        <w:pStyle w:val="61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DB 21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t>/T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XXXX</w:t>
                      </w:r>
                      <w:r>
                        <w:t>—20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652145"/>
                <wp:effectExtent l="0" t="0" r="13970" b="146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176B2D">
                            <w:pPr>
                              <w:pStyle w:val="45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  <w:lang w:eastAsia="zh-CN"/>
                              </w:rPr>
                              <w:t>铁岭市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51.35pt;width:481.9pt;mso-position-horizontal-relative:margin;mso-position-vertical-relative:margin;z-index:251660288;mso-width-relative:page;mso-height-relative:page;" fillcolor="#FFFFFF" filled="t" stroked="f" coordsize="21600,21600" o:allowincell="f" o:gfxdata="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jsTul1wAAAAgBAAAPAAAAAAAAAAEAIAAAACIAAABkcnMvZG93bnJldi54bWxQSwEC&#10;FAAUAAAACACHTuJAZnium7wBAACY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8176B2D">
                      <w:pPr>
                        <w:pStyle w:val="45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  <w:lang w:eastAsia="zh-CN"/>
                        </w:rPr>
                        <w:t>铁岭市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EF0639">
                            <w:pPr>
                              <w:pStyle w:val="96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65.020.20</w:t>
                            </w:r>
                          </w:p>
                          <w:p w14:paraId="59AFBC2F">
                            <w:pPr>
                              <w:pStyle w:val="96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CCS B 05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allowincell="f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ezL4NMAAAAFAQAADwAAAAAAAAABACAAAAAiAAAAZHJzL2Rvd25yZXYueG1sUEsBAhQA&#10;FAAAAAgAh07iQE61g1O+AQAAmAMAAA4AAAAAAAAAAQAgAAAAIgEAAGRycy9lMm9Eb2MueG1sUEsF&#10;BgAAAAAGAAYAWQEAAFI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2EF0639">
                      <w:pPr>
                        <w:pStyle w:val="96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65.020.20</w:t>
                      </w:r>
                    </w:p>
                    <w:p w14:paraId="59AFBC2F">
                      <w:pPr>
                        <w:pStyle w:val="96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CCS B 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7AC901C6">
      <w:pPr>
        <w:pStyle w:val="16"/>
        <w:tabs>
          <w:tab w:val="right" w:leader="dot" w:pos="9242"/>
        </w:tabs>
        <w:bidi w:val="0"/>
        <w:jc w:val="center"/>
        <w:rPr>
          <w:rFonts w:hint="eastAsia"/>
          <w:b/>
          <w:bCs/>
          <w:sz w:val="28"/>
          <w:szCs w:val="28"/>
        </w:rPr>
      </w:pPr>
    </w:p>
    <w:p w14:paraId="51DAC31A">
      <w:pPr>
        <w:pStyle w:val="16"/>
        <w:tabs>
          <w:tab w:val="right" w:leader="dot" w:pos="9242"/>
        </w:tabs>
        <w:bidi w:val="0"/>
        <w:jc w:val="center"/>
      </w:pPr>
      <w:r>
        <w:rPr>
          <w:rFonts w:hint="eastAsia"/>
          <w:b/>
          <w:bCs/>
          <w:sz w:val="28"/>
          <w:szCs w:val="28"/>
        </w:rPr>
        <w:t>前</w:t>
      </w:r>
      <w:r>
        <w:rPr>
          <w:rFonts w:hAnsi="黑体"/>
          <w:b/>
          <w:bCs/>
          <w:sz w:val="28"/>
          <w:szCs w:val="28"/>
        </w:rPr>
        <w:t>  </w:t>
      </w:r>
      <w:r>
        <w:rPr>
          <w:rFonts w:hint="eastAsia"/>
          <w:b/>
          <w:bCs/>
          <w:sz w:val="28"/>
          <w:szCs w:val="28"/>
        </w:rPr>
        <w:t>言</w:t>
      </w:r>
    </w:p>
    <w:p w14:paraId="7BFFDB47"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Times New Roman" w:hAnsi="宋体" w:eastAsia="宋体" w:cs="Times New Roman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GB/T1.1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2020《标准化工作导则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第1部分：标准化文件的结构和起草规则》的规定</w:t>
      </w:r>
    </w:p>
    <w:p w14:paraId="08BB531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起草。</w:t>
      </w:r>
    </w:p>
    <w:p w14:paraId="20A8C5BA"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请注意本文件的某些内容可能涉及专利。本文件的发布机构不承担识别专利的责任。</w:t>
      </w:r>
    </w:p>
    <w:p w14:paraId="5F87369F">
      <w:pPr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  <w:lang w:eastAsia="zh-CN"/>
        </w:rPr>
        <w:t>本文件</w:t>
      </w:r>
      <w:r>
        <w:rPr>
          <w:rFonts w:hint="eastAsia" w:hAnsi="宋体"/>
          <w:highlight w:val="none"/>
        </w:rPr>
        <w:t>由辽宁省铁岭市</w:t>
      </w:r>
      <w:r>
        <w:rPr>
          <w:rFonts w:hint="eastAsia" w:hAnsi="宋体"/>
          <w:highlight w:val="none"/>
          <w:lang w:val="en-US" w:eastAsia="zh-CN"/>
        </w:rPr>
        <w:t>农业农村局</w:t>
      </w:r>
      <w:r>
        <w:rPr>
          <w:rFonts w:hint="eastAsia" w:hAnsi="宋体"/>
          <w:highlight w:val="none"/>
        </w:rPr>
        <w:t>提出并归口。</w:t>
      </w:r>
    </w:p>
    <w:p w14:paraId="7F727666">
      <w:pPr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起草单位：辽宁绿丰花生玉米研究所、沈阳农业大学、昌图县现代农业发展服务中心、</w:t>
      </w:r>
      <w:r>
        <w:rPr>
          <w:rFonts w:hint="eastAsia" w:hAnsi="宋体"/>
          <w:lang w:val="en-US" w:eastAsia="zh-CN"/>
        </w:rPr>
        <w:t>辽宁省保卫农业科技有限公司、昌图县牛国花生专业种植合作社、</w:t>
      </w:r>
      <w:r>
        <w:rPr>
          <w:rFonts w:hint="eastAsia" w:hAnsi="宋体"/>
        </w:rPr>
        <w:t>昌图县花生产业协会。</w:t>
      </w:r>
    </w:p>
    <w:p w14:paraId="261F7C03">
      <w:pPr>
        <w:spacing w:line="360" w:lineRule="auto"/>
        <w:ind w:firstLine="420" w:firstLineChars="200"/>
        <w:rPr>
          <w:rFonts w:hint="eastAsia" w:ascii="Times New Roman" w:hAnsi="宋体" w:eastAsia="宋体" w:cs="Times New Roman"/>
          <w:lang w:val="en-US" w:eastAsia="zh-CN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主要起</w:t>
      </w:r>
      <w:r>
        <w:rPr>
          <w:rFonts w:hint="eastAsia" w:ascii="Times New Roman" w:hAnsi="宋体" w:eastAsia="宋体" w:cs="Times New Roman"/>
          <w:lang w:val="en-US" w:eastAsia="zh-CN"/>
        </w:rPr>
        <w:t>草人：曹敏建、王晓光、杨立冬、</w:t>
      </w:r>
      <w:r>
        <w:rPr>
          <w:rFonts w:hint="eastAsia" w:hAnsi="宋体" w:cs="Times New Roman"/>
          <w:lang w:val="en-US" w:eastAsia="zh-CN"/>
        </w:rPr>
        <w:t>刘辉、</w:t>
      </w:r>
      <w:r>
        <w:rPr>
          <w:rFonts w:hint="eastAsia" w:ascii="Times New Roman" w:hAnsi="宋体" w:eastAsia="宋体" w:cs="Times New Roman"/>
          <w:lang w:val="en-US" w:eastAsia="zh-CN"/>
        </w:rPr>
        <w:t>张振子、段贺、李志伟、孙景辉、马萍</w:t>
      </w:r>
      <w:r>
        <w:rPr>
          <w:rFonts w:hint="eastAsia" w:hAnsi="宋体" w:cs="Times New Roman"/>
          <w:lang w:val="en-US" w:eastAsia="zh-CN"/>
        </w:rPr>
        <w:t>。</w:t>
      </w:r>
    </w:p>
    <w:p w14:paraId="21A5A554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发布实施后，任何单位和个人如有意见建议，均可以通过来电和来函等方式进行反馈，我们将及时答复并认真处理，根据实际情况依法进行评估及复审。</w:t>
      </w:r>
    </w:p>
    <w:p w14:paraId="23B01900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default" w:hAnsi="宋体" w:eastAsia="宋体" w:cs="Times New Roman"/>
          <w:lang w:val="en-US" w:eastAsia="zh-CN"/>
        </w:rPr>
      </w:pPr>
      <w:r>
        <w:rPr>
          <w:rFonts w:hint="eastAsia" w:hAnsi="宋体" w:eastAsia="宋体" w:cs="Times New Roman"/>
        </w:rPr>
        <w:t>归口管理部门通讯地址：</w:t>
      </w:r>
      <w:r>
        <w:rPr>
          <w:rFonts w:hint="eastAsia" w:hAnsi="宋体" w:eastAsia="宋体" w:cs="Times New Roman"/>
          <w:lang w:val="en-US" w:eastAsia="zh-CN"/>
        </w:rPr>
        <w:t>铁岭市农业农村局（铁岭市凡河新区金沙江路），联系电话：15041003777。</w:t>
      </w:r>
    </w:p>
    <w:p w14:paraId="4D13C9E9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</w:rPr>
      </w:pPr>
      <w:r>
        <w:rPr>
          <w:rFonts w:hint="eastAsia" w:hAnsi="宋体" w:eastAsia="宋体" w:cs="Times New Roman"/>
        </w:rPr>
        <w:t>起草单位通讯地址：辽宁绿丰花生玉米研究所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昌图县古榆树镇），联系电话：13134207681；</w:t>
      </w:r>
      <w:r>
        <w:rPr>
          <w:rFonts w:hint="eastAsia" w:hAnsi="宋体" w:eastAsia="宋体" w:cs="Times New Roman"/>
        </w:rPr>
        <w:t>沈阳农业大学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沈阳市沈河区东陵路），联系电话：13019380509；</w:t>
      </w:r>
      <w:r>
        <w:rPr>
          <w:rFonts w:hint="eastAsia" w:hAnsi="宋体" w:eastAsia="宋体" w:cs="Times New Roman"/>
        </w:rPr>
        <w:t>昌图县花生产业协会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昌图县古榆树镇），联系电话：13066754782；</w:t>
      </w:r>
      <w:r>
        <w:rPr>
          <w:rFonts w:hint="eastAsia" w:hAnsi="宋体" w:eastAsia="宋体" w:cs="Times New Roman"/>
        </w:rPr>
        <w:t>昌图县现代农业发展服务中心</w:t>
      </w:r>
      <w:r>
        <w:rPr>
          <w:rFonts w:hint="eastAsia" w:hAnsi="宋体" w:eastAsia="宋体" w:cs="Times New Roman"/>
          <w:lang w:eastAsia="zh-CN"/>
        </w:rPr>
        <w:t>（昌图县</w:t>
      </w:r>
      <w:r>
        <w:rPr>
          <w:rFonts w:hint="eastAsia" w:hAnsi="宋体" w:eastAsia="宋体" w:cs="Times New Roman"/>
          <w:lang w:val="en-US" w:eastAsia="zh-CN"/>
        </w:rPr>
        <w:t>政府路26号），联系电话：13464109166。</w:t>
      </w:r>
    </w:p>
    <w:p w14:paraId="00C17A27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</w:rPr>
      </w:pPr>
    </w:p>
    <w:p w14:paraId="2B3214C3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5B812F22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644FDCE9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46AB11D9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52A9540F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1C33EA3D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72F58E9C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3A3511F7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5EB618AA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2D1E1140"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 w14:paraId="3A97D6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</w:rPr>
      </w:pPr>
      <w:bookmarkStart w:id="1" w:name="_Toc19941"/>
      <w:bookmarkStart w:id="2" w:name="_Toc23382"/>
    </w:p>
    <w:p w14:paraId="50AEF75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昌图出口</w:t>
      </w:r>
      <w:r>
        <w:rPr>
          <w:rFonts w:hint="eastAsia"/>
          <w:sz w:val="30"/>
          <w:szCs w:val="30"/>
        </w:rPr>
        <w:t>花生</w:t>
      </w:r>
      <w:r>
        <w:rPr>
          <w:rFonts w:hint="eastAsia"/>
          <w:sz w:val="30"/>
          <w:szCs w:val="30"/>
          <w:lang w:eastAsia="zh-CN"/>
        </w:rPr>
        <w:t>生产管控</w:t>
      </w:r>
      <w:r>
        <w:rPr>
          <w:rFonts w:hint="eastAsia"/>
          <w:sz w:val="30"/>
          <w:szCs w:val="30"/>
        </w:rPr>
        <w:t>技术规程</w:t>
      </w:r>
    </w:p>
    <w:p w14:paraId="30FA20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1范围</w:t>
      </w:r>
      <w:bookmarkEnd w:id="1"/>
      <w:bookmarkEnd w:id="2"/>
    </w:p>
    <w:p w14:paraId="05E2A46A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本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文件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规定了昌图出口花生的栽培方法，包括产地地块、施肥及病虫草害防治、田间管理等技术要求。</w:t>
      </w:r>
    </w:p>
    <w:p w14:paraId="76742FEB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本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文件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适用于昌图出口花生的生产管控。</w:t>
      </w:r>
    </w:p>
    <w:p w14:paraId="7BB1A9A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3" w:name="_Toc12762"/>
      <w:bookmarkStart w:id="4" w:name="_Toc28029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2规范性引用文件</w:t>
      </w:r>
      <w:bookmarkEnd w:id="3"/>
      <w:bookmarkEnd w:id="4"/>
    </w:p>
    <w:p w14:paraId="04CAF08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下列文件</w:t>
      </w:r>
      <w:r>
        <w:rPr>
          <w:rFonts w:hint="eastAsia" w:ascii="宋体" w:cs="Times New Roman"/>
          <w:color w:val="auto"/>
          <w:kern w:val="0"/>
          <w:szCs w:val="20"/>
          <w:u w:val="none"/>
          <w:lang w:val="en-US" w:eastAsia="zh-CN"/>
        </w:rPr>
        <w:t>中的内容通过文中的规范性引用而构成本文件必不可少的条款。其中，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注日期的引用文件，仅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该日期对应的版本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适用于本文件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；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不注日期的引用文件，其最新版本（包括所有的修改单）适用于本文件。</w:t>
      </w:r>
    </w:p>
    <w:p w14:paraId="4A02254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GB 4285 农药安全使用标准</w:t>
      </w:r>
    </w:p>
    <w:p w14:paraId="648F172D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strike w:val="0"/>
          <w:color w:val="auto"/>
          <w:kern w:val="0"/>
          <w:szCs w:val="20"/>
        </w:rPr>
        <w:t>GB/T 17420</w:t>
      </w:r>
      <w:r>
        <w:rPr>
          <w:rFonts w:hint="eastAsia" w:ascii="宋体" w:eastAsia="宋体" w:cs="Times New Roman"/>
          <w:strike w:val="0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trike w:val="0"/>
          <w:color w:val="auto"/>
          <w:kern w:val="0"/>
          <w:szCs w:val="20"/>
        </w:rPr>
        <w:t xml:space="preserve"> 微量元素叶面肥料</w:t>
      </w:r>
    </w:p>
    <w:p w14:paraId="14683C3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NY/T 496 肥料合理使用准则 通则</w:t>
      </w:r>
    </w:p>
    <w:p w14:paraId="3C34B5F0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cs="Times New Roman"/>
          <w:color w:val="auto"/>
          <w:kern w:val="0"/>
          <w:szCs w:val="20"/>
          <w:lang w:val="en-US" w:eastAsia="zh-CN"/>
        </w:rPr>
        <w:t>NY/T 5010 无公害农产品 种植业产地环境条件</w:t>
      </w:r>
    </w:p>
    <w:p w14:paraId="5D629DC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kern w:val="0"/>
          <w:szCs w:val="20"/>
          <w:lang w:val="en-US" w:eastAsia="zh-CN"/>
        </w:rPr>
        <w:t>3术语与定义</w:t>
      </w:r>
    </w:p>
    <w:p w14:paraId="59EC8D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jc w:val="left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本文件无没有需要界定的术语和定义。</w:t>
      </w:r>
    </w:p>
    <w:p w14:paraId="5C64C2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5" w:name="_Toc187"/>
      <w:bookmarkStart w:id="6" w:name="_Toc17682"/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4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产地及地块</w:t>
      </w:r>
      <w:bookmarkEnd w:id="5"/>
      <w:bookmarkEnd w:id="6"/>
    </w:p>
    <w:p w14:paraId="1F95AF3A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Times New Roman" w:eastAsia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产地远离城市和工厂，生态环境良好，空气质量、灌溉水质量、土壤环境质量符合NY/T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5010</w:t>
      </w:r>
    </w:p>
    <w:p w14:paraId="67225266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的要求。</w:t>
      </w:r>
    </w:p>
    <w:p w14:paraId="083F149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7" w:name="_Toc25189"/>
      <w:bookmarkStart w:id="8" w:name="_Toc1778"/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4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.2地块及土壤质地</w:t>
      </w:r>
      <w:bookmarkEnd w:id="7"/>
      <w:bookmarkEnd w:id="8"/>
    </w:p>
    <w:p w14:paraId="6045A1C3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宋体"/>
          <w:color w:val="auto"/>
          <w:kern w:val="0"/>
          <w:szCs w:val="21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花生种植地块排水良好，土壤沙性，质地疏松，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pH值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6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.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0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～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7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.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0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，有机质含量≥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0.8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%，碱解氮含量</w:t>
      </w:r>
      <w:r>
        <w:rPr>
          <w:rFonts w:hint="eastAsia" w:ascii="宋体" w:hAnsi="宋体" w:eastAsia="宋体" w:cs="Times New Roman"/>
          <w:color w:val="auto"/>
          <w:kern w:val="0"/>
          <w:szCs w:val="20"/>
        </w:rPr>
        <w:t>≥7</w:t>
      </w:r>
      <w:r>
        <w:rPr>
          <w:rFonts w:ascii="宋体" w:hAnsi="宋体" w:eastAsia="宋体" w:cs="Times New Roman"/>
          <w:color w:val="auto"/>
          <w:kern w:val="0"/>
          <w:szCs w:val="20"/>
        </w:rPr>
        <w:t xml:space="preserve">0 </w:t>
      </w:r>
      <w:r>
        <w:rPr>
          <w:rFonts w:hint="eastAsia" w:ascii="宋体" w:hAnsi="宋体" w:cs="Times New Roman"/>
          <w:color w:val="auto"/>
          <w:kern w:val="0"/>
          <w:szCs w:val="20"/>
          <w:lang w:val="en-US" w:eastAsia="zh-CN"/>
        </w:rPr>
        <w:t>mg</w:t>
      </w:r>
      <w:r>
        <w:rPr>
          <w:rFonts w:ascii="宋体" w:hAnsi="宋体" w:eastAsia="宋体" w:cs="Times New Roman"/>
          <w:color w:val="auto"/>
          <w:kern w:val="0"/>
          <w:szCs w:val="20"/>
        </w:rPr>
        <w:t>/</w:t>
      </w:r>
      <w:r>
        <w:rPr>
          <w:rFonts w:hint="eastAsia" w:ascii="宋体" w:hAnsi="宋体" w:cs="Times New Roman"/>
          <w:color w:val="auto"/>
          <w:kern w:val="0"/>
          <w:szCs w:val="20"/>
          <w:lang w:val="en-US" w:eastAsia="zh-CN"/>
        </w:rPr>
        <w:t>kg</w:t>
      </w:r>
      <w:r>
        <w:rPr>
          <w:rFonts w:hint="eastAsia" w:ascii="宋体" w:hAnsi="宋体" w:eastAsia="宋体" w:cs="Times New Roman"/>
          <w:color w:val="auto"/>
          <w:kern w:val="0"/>
          <w:szCs w:val="20"/>
        </w:rPr>
        <w:t>，速效磷含量≥3</w:t>
      </w:r>
      <w:r>
        <w:rPr>
          <w:rFonts w:ascii="宋体" w:hAnsi="宋体" w:eastAsia="宋体" w:cs="Times New Roman"/>
          <w:color w:val="auto"/>
          <w:kern w:val="0"/>
          <w:szCs w:val="20"/>
        </w:rPr>
        <w:t xml:space="preserve">0 </w:t>
      </w:r>
      <w:r>
        <w:rPr>
          <w:rFonts w:hint="eastAsia" w:ascii="宋体" w:hAnsi="宋体" w:cs="Times New Roman"/>
          <w:color w:val="auto"/>
          <w:kern w:val="0"/>
          <w:szCs w:val="20"/>
          <w:lang w:val="en-US" w:eastAsia="zh-CN"/>
        </w:rPr>
        <w:t>mg</w:t>
      </w:r>
      <w:r>
        <w:rPr>
          <w:rFonts w:ascii="宋体" w:hAnsi="宋体" w:eastAsia="宋体" w:cs="Times New Roman"/>
          <w:color w:val="auto"/>
          <w:kern w:val="0"/>
          <w:szCs w:val="20"/>
        </w:rPr>
        <w:t>/</w:t>
      </w:r>
      <w:r>
        <w:rPr>
          <w:rFonts w:hint="eastAsia" w:ascii="宋体" w:hAnsi="宋体" w:cs="Times New Roman"/>
          <w:color w:val="auto"/>
          <w:kern w:val="0"/>
          <w:szCs w:val="20"/>
          <w:lang w:val="en-US"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，速效钾含量</w:t>
      </w:r>
      <w:r>
        <w:rPr>
          <w:rFonts w:hint="eastAsia" w:ascii="宋体" w:hAnsi="宋体" w:eastAsia="宋体" w:cs="Times New Roman"/>
          <w:color w:val="auto"/>
          <w:kern w:val="0"/>
          <w:szCs w:val="20"/>
        </w:rPr>
        <w:t>≥8</w:t>
      </w:r>
      <w:r>
        <w:rPr>
          <w:rFonts w:ascii="宋体" w:hAnsi="宋体" w:eastAsia="宋体" w:cs="Times New Roman"/>
          <w:color w:val="auto"/>
          <w:kern w:val="0"/>
          <w:szCs w:val="20"/>
        </w:rPr>
        <w:t xml:space="preserve">5 </w:t>
      </w:r>
      <w:r>
        <w:rPr>
          <w:rFonts w:hint="eastAsia" w:ascii="宋体" w:hAnsi="宋体" w:cs="Times New Roman"/>
          <w:color w:val="auto"/>
          <w:kern w:val="0"/>
          <w:szCs w:val="20"/>
          <w:lang w:val="en-US" w:eastAsia="zh-CN"/>
        </w:rPr>
        <w:t>mg</w:t>
      </w:r>
      <w:r>
        <w:rPr>
          <w:rFonts w:ascii="宋体" w:hAnsi="宋体" w:eastAsia="宋体" w:cs="Times New Roman"/>
          <w:color w:val="auto"/>
          <w:kern w:val="0"/>
          <w:szCs w:val="20"/>
        </w:rPr>
        <w:t>/</w:t>
      </w:r>
      <w:r>
        <w:rPr>
          <w:rFonts w:hint="eastAsia" w:ascii="宋体" w:hAnsi="宋体" w:cs="Times New Roman"/>
          <w:color w:val="auto"/>
          <w:kern w:val="0"/>
          <w:szCs w:val="20"/>
          <w:lang w:val="en-US" w:eastAsia="zh-CN"/>
        </w:rPr>
        <w:t>kg</w:t>
      </w:r>
      <w:r>
        <w:rPr>
          <w:rFonts w:hint="eastAsia" w:ascii="宋体" w:hAnsi="宋体" w:eastAsia="宋体" w:cs="Times New Roman"/>
          <w:color w:val="auto"/>
          <w:kern w:val="0"/>
          <w:szCs w:val="20"/>
        </w:rPr>
        <w:t>。</w:t>
      </w:r>
    </w:p>
    <w:p w14:paraId="13AD464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9" w:name="_Toc31985"/>
      <w:bookmarkStart w:id="10" w:name="_Toc5541"/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整地</w:t>
      </w:r>
      <w:bookmarkEnd w:id="9"/>
      <w:bookmarkEnd w:id="10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30F8DDF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11" w:name="_Toc13891"/>
      <w:bookmarkStart w:id="12" w:name="_Toc10648"/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.1翻地</w:t>
      </w:r>
      <w:bookmarkEnd w:id="11"/>
      <w:bookmarkEnd w:id="12"/>
    </w:p>
    <w:p w14:paraId="7E41B12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每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3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年～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4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年翻地一次。秋季耕翻，深度25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左右；春季耕翻，深度20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cm左右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。</w:t>
      </w:r>
    </w:p>
    <w:p w14:paraId="0CE44F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13" w:name="_Toc11274"/>
      <w:bookmarkStart w:id="14" w:name="_Toc12252"/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.2耙地与镇压</w:t>
      </w:r>
      <w:bookmarkEnd w:id="13"/>
      <w:bookmarkEnd w:id="14"/>
    </w:p>
    <w:p w14:paraId="7EA477D6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bCs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秋翻后土垡保持原状，翌年春季顶凌耙压；春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翻后及时耙碎土垡耙平地表，并镇压。</w:t>
      </w:r>
    </w:p>
    <w:p w14:paraId="1F1D4E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15" w:name="_Toc20754"/>
      <w:bookmarkStart w:id="16" w:name="_Toc11910"/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.3旋耕</w:t>
      </w:r>
      <w:bookmarkEnd w:id="15"/>
      <w:bookmarkEnd w:id="16"/>
    </w:p>
    <w:p w14:paraId="0C72000E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秋季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没有翻耕的地块，早春顶凌旋耕，耕深1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2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左右，做到土碎地平，等待播种。</w:t>
      </w:r>
    </w:p>
    <w:p w14:paraId="2A93C55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</w:rPr>
      </w:pPr>
      <w:bookmarkStart w:id="17" w:name="_Toc31623"/>
      <w:bookmarkStart w:id="18" w:name="_Toc1887"/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5.4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起垄</w:t>
      </w:r>
      <w:bookmarkEnd w:id="17"/>
      <w:bookmarkEnd w:id="18"/>
    </w:p>
    <w:p w14:paraId="60398492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起垄播种的地块，采用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秋起垄或春起垄，小垄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种植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垄底宽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60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，垄高1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3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，大垄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种植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垄底宽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90 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～1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20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，垄高1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3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，起垄后镇压，压紧垄体。</w:t>
      </w:r>
    </w:p>
    <w:p w14:paraId="27224A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1"/>
        </w:rPr>
      </w:pPr>
      <w:bookmarkStart w:id="19" w:name="_Toc2779"/>
      <w:bookmarkStart w:id="20" w:name="_Toc343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6品种及种子</w:t>
      </w:r>
      <w:bookmarkEnd w:id="19"/>
      <w:bookmarkEnd w:id="20"/>
    </w:p>
    <w:p w14:paraId="1DB4AD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6.1品种选择</w:t>
      </w:r>
    </w:p>
    <w:p w14:paraId="35BCCF2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选用经国家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登记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推广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的、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或订单专用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的、生育期适宜、高产优质、抗旱、抗病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当地种植一年以上的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品种。</w:t>
      </w:r>
    </w:p>
    <w:p w14:paraId="4A6C72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default" w:ascii="黑体" w:eastAsia="黑体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6.2种子选择</w:t>
      </w:r>
    </w:p>
    <w:p w14:paraId="45F5D975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bCs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种子无病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、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虫，含水量9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以下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，发芽势9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以上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、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highlight w:val="yellow"/>
        </w:rPr>
        <w:t>发芽率</w:t>
      </w:r>
      <w:r>
        <w:rPr>
          <w:rFonts w:hint="eastAsia" w:ascii="宋体" w:cs="Times New Roman"/>
          <w:color w:val="auto"/>
          <w:kern w:val="0"/>
          <w:szCs w:val="20"/>
          <w:highlight w:val="yellow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highlight w:val="yellow"/>
        </w:rPr>
        <w:t>9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highlight w:val="yellow"/>
          <w:lang w:val="en-US" w:eastAsia="zh-CN"/>
        </w:rPr>
        <w:t>5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highlight w:val="yellow"/>
        </w:rPr>
        <w:t>%以上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，纯度≥9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9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%，净度≥9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9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%。</w:t>
      </w:r>
    </w:p>
    <w:p w14:paraId="61DA96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21" w:name="_Toc28848"/>
      <w:bookmarkStart w:id="22" w:name="_Toc10977"/>
      <w:r>
        <w:rPr>
          <w:rFonts w:ascii="黑体" w:hAnsi="Times New Roman" w:eastAsia="黑体" w:cs="Times New Roman"/>
          <w:color w:val="auto"/>
          <w:kern w:val="0"/>
          <w:szCs w:val="20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种子处理</w:t>
      </w:r>
      <w:bookmarkEnd w:id="21"/>
      <w:bookmarkEnd w:id="22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4690841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1"/>
          <w:lang w:eastAsia="zh-CN"/>
        </w:rPr>
      </w:pPr>
      <w:bookmarkStart w:id="23" w:name="_Toc1029"/>
      <w:bookmarkStart w:id="24" w:name="_Toc14593"/>
      <w:r>
        <w:rPr>
          <w:rFonts w:ascii="黑体" w:hAnsi="Times New Roman" w:eastAsia="黑体" w:cs="Times New Roman"/>
          <w:color w:val="auto"/>
          <w:kern w:val="0"/>
          <w:szCs w:val="21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.1晒种</w:t>
      </w:r>
      <w:bookmarkEnd w:id="23"/>
      <w:bookmarkEnd w:id="24"/>
    </w:p>
    <w:p w14:paraId="0AC08457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bCs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播前10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d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～15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d，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晾晒荚果，选晴朗天气，于9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h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～15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h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，把花生平铺在晒场上，厚10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左右，每隔1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h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～2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h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翻动1次，晒2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d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～3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color w:val="auto"/>
          <w:kern w:val="0"/>
          <w:szCs w:val="20"/>
          <w:lang w:eastAsia="zh-CN"/>
        </w:rPr>
        <w:t>d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。</w:t>
      </w:r>
    </w:p>
    <w:p w14:paraId="5935D6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25" w:name="_Toc31357"/>
      <w:bookmarkStart w:id="26" w:name="_Toc31574"/>
      <w:r>
        <w:rPr>
          <w:rFonts w:ascii="黑体" w:hAnsi="Times New Roman" w:eastAsia="黑体" w:cs="Times New Roman"/>
          <w:color w:val="auto"/>
          <w:kern w:val="0"/>
          <w:szCs w:val="21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.2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种子脱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壳</w:t>
      </w:r>
      <w:bookmarkEnd w:id="25"/>
      <w:bookmarkEnd w:id="26"/>
    </w:p>
    <w:p w14:paraId="52BA7117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bCs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晒种后采用人工或机械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>脱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壳，</w:t>
      </w:r>
      <w:r>
        <w:rPr>
          <w:rFonts w:hint="eastAsia" w:ascii="宋体" w:cs="Times New Roman"/>
          <w:bCs/>
          <w:color w:val="auto"/>
          <w:kern w:val="0"/>
          <w:szCs w:val="20"/>
          <w:lang w:val="en-US" w:eastAsia="zh-CN"/>
        </w:rPr>
        <w:t>脱壳过程中尽量</w:t>
      </w:r>
      <w:r>
        <w:rPr>
          <w:rFonts w:hint="eastAsia" w:ascii="宋体" w:hAnsi="Times New Roman" w:eastAsia="宋体" w:cs="Times New Roman"/>
          <w:bCs/>
          <w:color w:val="auto"/>
          <w:kern w:val="0"/>
          <w:szCs w:val="20"/>
        </w:rPr>
        <w:t>减轻种子伤害，减少种皮脱落和破损率。</w:t>
      </w:r>
    </w:p>
    <w:p w14:paraId="4F6680E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1"/>
          <w:lang w:eastAsia="zh-CN"/>
        </w:rPr>
      </w:pPr>
      <w:bookmarkStart w:id="27" w:name="_Toc1896"/>
      <w:bookmarkStart w:id="28" w:name="_Toc18654"/>
      <w:r>
        <w:rPr>
          <w:rFonts w:ascii="黑体" w:hAnsi="Times New Roman" w:eastAsia="黑体" w:cs="Times New Roman"/>
          <w:color w:val="auto"/>
          <w:kern w:val="0"/>
          <w:szCs w:val="21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.3分级选种</w:t>
      </w:r>
      <w:bookmarkEnd w:id="27"/>
      <w:bookmarkEnd w:id="28"/>
    </w:p>
    <w:p w14:paraId="254BC52E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用色选机，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选择色泽新、没有机械或病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、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虫损伤的种子。按籽粒大小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筛选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为三级，淘汰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三级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籽粒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选一、二级粒径种子分级种植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。</w:t>
      </w:r>
    </w:p>
    <w:p w14:paraId="27B308E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29" w:name="_Toc24172"/>
      <w:bookmarkStart w:id="30" w:name="_Toc16076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7.</w:t>
      </w:r>
      <w:r>
        <w:rPr>
          <w:rFonts w:hint="eastAsia" w:ascii="黑体" w:hAnsi="Times New Roman" w:eastAsia="黑体" w:cs="Times New Roman"/>
          <w:color w:val="auto"/>
          <w:kern w:val="0"/>
          <w:szCs w:val="21"/>
          <w:lang w:val="en-US" w:eastAsia="zh-CN"/>
        </w:rPr>
        <w:t>4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种子包衣</w:t>
      </w:r>
      <w:bookmarkEnd w:id="29"/>
      <w:bookmarkEnd w:id="30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　</w:t>
      </w:r>
    </w:p>
    <w:p w14:paraId="597833DE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  <w:lang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选用噻虫嗪22.6 %+咯菌腈2.2 %+苯醚甲环唑2.2 %或噻虫嗪22.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2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%+咯菌腈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1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.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1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 xml:space="preserve"> %+精甲霜灵1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.7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%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种衣剂，5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00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mL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种衣剂包衣种子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1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00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用种子包衣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机械搅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拌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使种子表面药剂均匀，不能伤害花生种皮，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30 min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阴干后播种。包衣后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的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种子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不能久放，随包随播。</w:t>
      </w:r>
    </w:p>
    <w:p w14:paraId="39A885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31" w:name="_Toc5762"/>
      <w:bookmarkStart w:id="32" w:name="_Toc19046"/>
      <w:r>
        <w:rPr>
          <w:rFonts w:ascii="黑体" w:hAnsi="Times New Roman" w:eastAsia="黑体" w:cs="Times New Roman"/>
          <w:color w:val="auto"/>
          <w:kern w:val="0"/>
          <w:szCs w:val="20"/>
        </w:rPr>
        <w:t>8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播种</w:t>
      </w:r>
      <w:bookmarkEnd w:id="31"/>
      <w:bookmarkEnd w:id="32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33BB660B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  <w:lang w:eastAsia="zh-CN"/>
        </w:rPr>
      </w:pPr>
      <w:bookmarkStart w:id="33" w:name="_Toc19288"/>
      <w:bookmarkStart w:id="34" w:name="_Toc3275"/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播期</w:t>
      </w:r>
      <w:bookmarkEnd w:id="33"/>
      <w:bookmarkEnd w:id="34"/>
      <w:r>
        <w:rPr>
          <w:rFonts w:hint="eastAsia" w:ascii="宋体" w:hAnsi="Times New Roman" w:eastAsia="宋体" w:cs="Times New Roman"/>
          <w:color w:val="auto"/>
          <w:kern w:val="0"/>
          <w:szCs w:val="20"/>
          <w:lang w:eastAsia="zh-CN"/>
        </w:rPr>
        <w:t>、播深、播深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及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eastAsia="zh-CN"/>
        </w:rPr>
        <w:t>播种量及密度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与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大田生产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相同。</w:t>
      </w:r>
    </w:p>
    <w:p w14:paraId="2AD88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35" w:name="_Toc10211"/>
      <w:bookmarkStart w:id="36" w:name="_Toc20052"/>
      <w:r>
        <w:rPr>
          <w:rFonts w:ascii="黑体" w:hAnsi="Times New Roman" w:eastAsia="黑体" w:cs="Times New Roman"/>
          <w:color w:val="auto"/>
          <w:kern w:val="0"/>
          <w:szCs w:val="21"/>
        </w:rPr>
        <w:t>9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种植方式</w:t>
      </w:r>
      <w:bookmarkEnd w:id="35"/>
      <w:bookmarkEnd w:id="36"/>
    </w:p>
    <w:p w14:paraId="6CB9BBC6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Times New Roman" w:eastAsia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种植方式与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大田生产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相同。</w:t>
      </w:r>
    </w:p>
    <w:p w14:paraId="7B7B84A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37" w:name="_Toc31226"/>
      <w:bookmarkStart w:id="38" w:name="_Toc30853"/>
      <w:r>
        <w:rPr>
          <w:rFonts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0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施肥</w:t>
      </w:r>
      <w:bookmarkEnd w:id="37"/>
      <w:bookmarkEnd w:id="38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01BEBA3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39" w:name="_Toc5890"/>
      <w:bookmarkStart w:id="40" w:name="_Toc10633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0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.1肥料使用准则</w:t>
      </w:r>
      <w:bookmarkEnd w:id="39"/>
      <w:bookmarkEnd w:id="40"/>
    </w:p>
    <w:p w14:paraId="3ED90B0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肥料应符合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NY/T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 xml:space="preserve"> 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496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的规定。</w:t>
      </w:r>
    </w:p>
    <w:p w14:paraId="1249D9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41" w:name="_Toc5473"/>
      <w:bookmarkStart w:id="42" w:name="_Toc23958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0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.2有机肥</w:t>
      </w:r>
      <w:bookmarkEnd w:id="41"/>
      <w:bookmarkEnd w:id="42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ab/>
      </w:r>
    </w:p>
    <w:p w14:paraId="13F6443A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整地作垄时，施腐熟有机肥，每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667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m</w:t>
      </w:r>
      <w:r>
        <w:rPr>
          <w:rFonts w:hint="eastAsia" w:ascii="宋体" w:cs="Times New Roman"/>
          <w:color w:val="auto"/>
          <w:kern w:val="0"/>
          <w:szCs w:val="20"/>
          <w:vertAlign w:val="superscript"/>
          <w:lang w:eastAsia="zh-CN"/>
        </w:rPr>
        <w:t>2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施300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～500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，肥料中砷、汞、铅、铬含量＜1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5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mg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／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，镉含量＜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5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mg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／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。</w:t>
      </w:r>
    </w:p>
    <w:p w14:paraId="7FB662D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宋体" w:hAnsi="Times New Roman" w:eastAsia="宋体" w:cs="Times New Roman"/>
          <w:color w:val="auto"/>
          <w:kern w:val="0"/>
          <w:szCs w:val="20"/>
        </w:rPr>
      </w:pPr>
      <w:bookmarkStart w:id="43" w:name="_Toc7478"/>
      <w:bookmarkStart w:id="44" w:name="_Toc17077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0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.3专用化肥</w:t>
      </w:r>
      <w:bookmarkEnd w:id="43"/>
      <w:bookmarkEnd w:id="44"/>
    </w:p>
    <w:p w14:paraId="173E017D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bookmarkStart w:id="45" w:name="_Toc22737"/>
      <w:bookmarkStart w:id="46" w:name="_Toc8604"/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花生专用化肥，每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667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m</w:t>
      </w:r>
      <w:r>
        <w:rPr>
          <w:rFonts w:hint="eastAsia" w:ascii="宋体" w:cs="Times New Roman"/>
          <w:color w:val="auto"/>
          <w:kern w:val="0"/>
          <w:szCs w:val="20"/>
          <w:vertAlign w:val="superscript"/>
          <w:lang w:eastAsia="zh-CN"/>
        </w:rPr>
        <w:t>2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施用5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左右，重金属镉（Cd）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含量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＞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5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mg／kg禁止使用</w:t>
      </w:r>
      <w:bookmarkEnd w:id="45"/>
      <w:bookmarkEnd w:id="46"/>
      <w:bookmarkStart w:id="47" w:name="_Toc8232"/>
      <w:bookmarkStart w:id="48" w:name="_Toc16892"/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。结合土壤化验结果，补施相应的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中微量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营养元素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。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种肥严格隔离，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沟施于种子侧下方7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处。</w:t>
      </w:r>
      <w:bookmarkEnd w:id="47"/>
      <w:bookmarkEnd w:id="48"/>
    </w:p>
    <w:p w14:paraId="1E74DE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</w:rPr>
      </w:pPr>
      <w:bookmarkStart w:id="49" w:name="_Toc6697"/>
      <w:bookmarkStart w:id="50" w:name="_Toc32734"/>
      <w:r>
        <w:rPr>
          <w:rFonts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1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田间管理</w:t>
      </w:r>
      <w:bookmarkEnd w:id="49"/>
      <w:bookmarkEnd w:id="50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70E041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51" w:name="_Toc19393"/>
      <w:bookmarkStart w:id="52" w:name="_Toc29525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1.1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除草</w:t>
      </w:r>
      <w:bookmarkEnd w:id="51"/>
      <w:bookmarkEnd w:id="52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ab/>
      </w:r>
    </w:p>
    <w:p w14:paraId="24776AD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53" w:name="_Toc4028"/>
      <w:bookmarkStart w:id="54" w:name="_Toc19518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1.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化学除草</w:t>
      </w:r>
      <w:bookmarkEnd w:id="53"/>
      <w:bookmarkEnd w:id="54"/>
      <w:bookmarkStart w:id="89" w:name="_GoBack"/>
      <w:bookmarkEnd w:id="89"/>
    </w:p>
    <w:p w14:paraId="29C276C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55" w:name="_Toc23796"/>
      <w:bookmarkStart w:id="56" w:name="_Toc17468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1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.1.1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.1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苗前除草</w:t>
      </w:r>
      <w:bookmarkEnd w:id="55"/>
      <w:bookmarkEnd w:id="56"/>
    </w:p>
    <w:p w14:paraId="7492223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播种镇压后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3 d～5 d，喷洒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乙草胺乳油+扑草净，或72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%精异丙甲草胺乳油，严格按照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生产厂商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的要求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用量对水均匀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喷洒，不可漏喷和重喷。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春季干旱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，喷前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要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进行土壤镇压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大雨前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禁止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喷药。</w:t>
      </w:r>
    </w:p>
    <w:p w14:paraId="754B3B1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57" w:name="_Toc31619"/>
      <w:bookmarkStart w:id="58" w:name="_Toc19394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.1.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1.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苗期除草</w:t>
      </w:r>
      <w:bookmarkEnd w:id="57"/>
      <w:bookmarkEnd w:id="58"/>
    </w:p>
    <w:p w14:paraId="365DAED2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花生出苗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20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d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前后，杂草在三叶期左右，喷洒除草剂，用高效氟吡甲禾灵、精喹禾灵、乙羧氟草醚，严格按照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农药生产商要求的用量和浓度进行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喷施。禁止使用烯草酮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。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7月5日后禁止使用任何除草剂。</w:t>
      </w:r>
    </w:p>
    <w:p w14:paraId="34DA116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59" w:name="_Toc16285"/>
      <w:bookmarkStart w:id="60" w:name="_Toc22564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1.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2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中耕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除草</w:t>
      </w:r>
      <w:bookmarkEnd w:id="59"/>
      <w:bookmarkEnd w:id="60"/>
    </w:p>
    <w:p w14:paraId="2DE1825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Times New Roman" w:eastAsia="黑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花生下针期，结合中耕培土，铲除杂草。</w:t>
      </w:r>
    </w:p>
    <w:p w14:paraId="7DC6F97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61" w:name="_Toc7235"/>
      <w:bookmarkStart w:id="62" w:name="_Toc18953"/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1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查田补苗</w:t>
      </w:r>
      <w:bookmarkEnd w:id="61"/>
      <w:bookmarkEnd w:id="62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ab/>
      </w:r>
    </w:p>
    <w:p w14:paraId="088F44E8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播种后及时查田，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出苗期及时查苗，有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漏种和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缺苗现象及时补种，要将种子浸泡4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h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吸胀后补种。</w:t>
      </w:r>
    </w:p>
    <w:p w14:paraId="760C58B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63" w:name="_Toc7108"/>
      <w:bookmarkStart w:id="64" w:name="_Toc31561"/>
      <w:r>
        <w:rPr>
          <w:rFonts w:ascii="黑体" w:hAnsi="Times New Roman" w:eastAsia="黑体" w:cs="Times New Roman"/>
          <w:color w:val="auto"/>
          <w:kern w:val="0"/>
          <w:szCs w:val="21"/>
        </w:rPr>
        <w:t>12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3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蹲苗</w:t>
      </w:r>
      <w:bookmarkEnd w:id="63"/>
      <w:bookmarkEnd w:id="64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ab/>
      </w:r>
    </w:p>
    <w:p w14:paraId="231F1CBE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在幼苗4片真叶左右，采用镇压的方法，让两片子叶和侧芽露土见光，团棵期减少水分，控制旺长。</w:t>
      </w:r>
    </w:p>
    <w:p w14:paraId="7E5CEF4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65" w:name="_Toc17779"/>
      <w:bookmarkStart w:id="66" w:name="_Toc12037"/>
      <w:r>
        <w:rPr>
          <w:rFonts w:ascii="黑体" w:hAnsi="Times New Roman" w:eastAsia="黑体" w:cs="Times New Roman"/>
          <w:color w:val="auto"/>
          <w:kern w:val="0"/>
          <w:szCs w:val="21"/>
        </w:rPr>
        <w:t>12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4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水分管理</w:t>
      </w:r>
      <w:bookmarkEnd w:id="65"/>
      <w:bookmarkEnd w:id="66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ab/>
      </w:r>
    </w:p>
    <w:p w14:paraId="1799F060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开花盛期至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荚果充实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期是花生水分临界期，要保障土壤水分供应，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保持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田间持水量的7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0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左右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。</w:t>
      </w:r>
    </w:p>
    <w:p w14:paraId="4A5E02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</w:pPr>
      <w:bookmarkStart w:id="67" w:name="_Toc5736"/>
      <w:bookmarkStart w:id="68" w:name="_Toc26019"/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 xml:space="preserve">12.5叶面肥药喷施 </w:t>
      </w:r>
    </w:p>
    <w:p w14:paraId="112235D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</w:pPr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>12.5.1第一遍喷施</w:t>
      </w:r>
    </w:p>
    <w:p w14:paraId="112A06D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</w:pPr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 xml:space="preserve">花生开花期（6月25日前后），喷施尿素+磷酸二氢钾+微肥+芸苔素内酯+噻呋酰胺+助剂。尿素浓度为1%，磷酸二氢钾浓度为0.5 %，微量元素（硼锌钼铁）浓度为0.01 %，0.004 %芸苔素内酯乳油稀释浓度为2000倍,24 %噻呋酰胺悬浮剂稀释浓度为1800倍,助剂使用量为农药用量的0.1%～0.2%。微量元素叶面肥料符合GB/T 17420。 </w:t>
      </w:r>
    </w:p>
    <w:p w14:paraId="758C3E0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</w:pPr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>12.5.2 第二遍喷施</w:t>
      </w:r>
    </w:p>
    <w:p w14:paraId="3E237D2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</w:pPr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>花生下针期（7月20日前后），喷施尿素+磷酸二氢钾+微肥+氟唑菌酰羟胺+苯醚甲环唑+助剂。尿素浓度为1.2 %，磷酸二氢钾浓度为0.5 %，微量元素（硼锌钼铁）浓度为0.01 %，氟唑菌酰羟胺+苯醚甲环唑、200 g/L的氟唑菌酰羟胺悬浮剂和200 g/L的苯醚甲环唑胺悬浮剂稀释1500倍～2000倍。</w:t>
      </w:r>
    </w:p>
    <w:p w14:paraId="65145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</w:pPr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>12.5.3 第三遍喷施</w:t>
      </w:r>
    </w:p>
    <w:p w14:paraId="50CCDE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黑体" w:hAnsi="Times New Roman" w:eastAsia="黑体" w:cs="Times New Roman"/>
          <w:strike/>
          <w:color w:val="auto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strike/>
          <w:color w:val="auto"/>
          <w:kern w:val="0"/>
          <w:szCs w:val="20"/>
        </w:rPr>
        <w:t>花生结荚期（8月15日前后），喷施尿素+磷酸二氢钾+微肥+氟唑菌酰羟胺+苯醚甲环唑+调环酸钙+助剂。尿素浓度为1.2 %，磷酸二氢钾浓度为0.5 %，微量元素（硼锌钼铁）浓度为0.01 %，氟唑菌酰羟胺+苯醚甲环唑+调环酸钙。氟唑菌酰羟胺、苯醚甲环唑稀释浓度与5.2.2同，5 %调环酸钙稀释400倍 。</w:t>
      </w:r>
      <w:bookmarkEnd w:id="67"/>
      <w:bookmarkEnd w:id="68"/>
    </w:p>
    <w:p w14:paraId="354B5C3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69" w:name="_Toc27510"/>
      <w:bookmarkStart w:id="70" w:name="_Toc1727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虫害防治</w:t>
      </w:r>
      <w:bookmarkEnd w:id="69"/>
      <w:bookmarkEnd w:id="70"/>
    </w:p>
    <w:p w14:paraId="04DC09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71" w:name="_Toc32673"/>
      <w:bookmarkStart w:id="72" w:name="_Toc21531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蚜虫</w:t>
      </w:r>
      <w:bookmarkEnd w:id="71"/>
      <w:bookmarkEnd w:id="72"/>
    </w:p>
    <w:p w14:paraId="3F9F3A88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宋体" w:eastAsia="宋体" w:cs="Times New Roman"/>
          <w:color w:val="auto"/>
          <w:szCs w:val="24"/>
        </w:rPr>
        <w:t>用0.3</w:t>
      </w:r>
      <w:r>
        <w:rPr>
          <w:rFonts w:hint="eastAsia" w:ascii="宋体" w:hAnsi="宋体" w:cs="Times New Roman"/>
          <w:color w:val="auto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4"/>
        </w:rPr>
        <w:t>%苦参碱水剂或用50</w:t>
      </w:r>
      <w:r>
        <w:rPr>
          <w:rFonts w:hint="eastAsia" w:ascii="宋体" w:hAnsi="宋体" w:cs="Times New Roman"/>
          <w:color w:val="auto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4"/>
        </w:rPr>
        <w:t>%抗蚜威可湿性粉剂，按照</w:t>
      </w:r>
      <w:r>
        <w:rPr>
          <w:rFonts w:hint="eastAsia" w:ascii="宋体" w:hAnsi="宋体" w:cs="Times New Roman"/>
          <w:color w:val="auto"/>
          <w:szCs w:val="24"/>
          <w:lang w:val="en-US" w:eastAsia="zh-CN"/>
        </w:rPr>
        <w:t>农药生产厂商的要求进行操作</w:t>
      </w:r>
      <w:r>
        <w:rPr>
          <w:rFonts w:hint="eastAsia" w:ascii="宋体" w:hAnsi="宋体" w:eastAsia="宋体" w:cs="Times New Roman"/>
          <w:color w:val="auto"/>
          <w:szCs w:val="24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傍晚喷施。</w:t>
      </w:r>
      <w:r>
        <w:rPr>
          <w:rFonts w:hint="eastAsia" w:ascii="宋体" w:hAnsi="宋体" w:cs="Times New Roman"/>
          <w:color w:val="auto"/>
          <w:szCs w:val="24"/>
          <w:lang w:val="en-US" w:eastAsia="zh-CN"/>
        </w:rPr>
        <w:t>严禁使用乐果、氧化乐果。</w:t>
      </w:r>
    </w:p>
    <w:p w14:paraId="6D674CC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73" w:name="_Toc31610"/>
      <w:bookmarkStart w:id="74" w:name="_Toc22195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棉铃虫</w:t>
      </w:r>
      <w:bookmarkEnd w:id="73"/>
      <w:bookmarkEnd w:id="74"/>
    </w:p>
    <w:p w14:paraId="5208A4B1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　　用2.5%噻虫酰胺，农药生产厂商的要求进行操作，傍晚喷施。</w:t>
      </w:r>
    </w:p>
    <w:p w14:paraId="4335A80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1"/>
        </w:rPr>
      </w:pPr>
      <w:bookmarkStart w:id="75" w:name="_Toc8924"/>
      <w:bookmarkStart w:id="76" w:name="_Toc26050"/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1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hint="eastAsia" w:ascii="黑体" w:eastAsia="黑体" w:cs="Times New Roman"/>
          <w:color w:val="auto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.</w:t>
      </w:r>
      <w:r>
        <w:rPr>
          <w:rFonts w:ascii="黑体" w:hAnsi="Times New Roman" w:eastAsia="黑体" w:cs="Times New Roman"/>
          <w:color w:val="auto"/>
          <w:kern w:val="0"/>
          <w:szCs w:val="21"/>
        </w:rPr>
        <w:t>3</w:t>
      </w:r>
      <w:r>
        <w:rPr>
          <w:rFonts w:hint="eastAsia" w:ascii="黑体" w:hAnsi="Times New Roman" w:eastAsia="黑体" w:cs="Times New Roman"/>
          <w:color w:val="auto"/>
          <w:kern w:val="0"/>
          <w:szCs w:val="21"/>
        </w:rPr>
        <w:t>地下害虫</w:t>
      </w:r>
      <w:bookmarkEnd w:id="75"/>
      <w:bookmarkEnd w:id="76"/>
    </w:p>
    <w:p w14:paraId="14E1953F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参照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7.4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种子包衣剂，严禁使用毒死蜱。</w:t>
      </w:r>
    </w:p>
    <w:p w14:paraId="3DB9FA8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kern w:val="0"/>
          <w:szCs w:val="20"/>
          <w:lang w:val="en-US" w:eastAsia="zh-CN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2.8</w:t>
      </w:r>
      <w:r>
        <w:rPr>
          <w:rFonts w:hint="eastAsia" w:ascii="黑体" w:hAnsi="Times New Roman" w:eastAsia="黑体" w:cs="Times New Roman"/>
          <w:color w:val="auto"/>
          <w:kern w:val="0"/>
          <w:szCs w:val="20"/>
          <w:lang w:val="en-US" w:eastAsia="zh-CN"/>
        </w:rPr>
        <w:t>生长调控</w:t>
      </w:r>
    </w:p>
    <w:p w14:paraId="71CE8E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12.8.1促进生长</w:t>
      </w:r>
    </w:p>
    <w:p w14:paraId="7B91686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Times New Roman" w:eastAsia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采用磷酸二氢钾+芸苔素内酯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进行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茎叶喷施，磷酸二氢钾浓度为1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%，芸苔素内酯浓度0.01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%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～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0.015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%。根据长势喷施1次～2次。</w:t>
      </w:r>
    </w:p>
    <w:p w14:paraId="17006FF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12.8.2 控制旺长</w:t>
      </w:r>
    </w:p>
    <w:p w14:paraId="00866285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黑体" w:eastAsia="黑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植株生长过旺，喷施多效唑+甲哌鎓，严格按照农药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生产厂商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要求操作，根据长势喷施1次～2次。严禁使用矮壮素（CCC）。</w:t>
      </w:r>
    </w:p>
    <w:p w14:paraId="753C1D3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77" w:name="_Toc20161"/>
      <w:bookmarkStart w:id="78" w:name="_Toc12446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3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收获</w:t>
      </w:r>
      <w:bookmarkEnd w:id="77"/>
      <w:bookmarkEnd w:id="78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0AB8717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79" w:name="_Toc15762"/>
      <w:bookmarkStart w:id="80" w:name="_Toc306"/>
      <w:r>
        <w:rPr>
          <w:rFonts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3</w:t>
      </w:r>
      <w:r>
        <w:rPr>
          <w:rFonts w:ascii="黑体" w:hAnsi="Times New Roman" w:eastAsia="黑体" w:cs="Times New Roman"/>
          <w:color w:val="auto"/>
          <w:kern w:val="0"/>
          <w:szCs w:val="20"/>
        </w:rPr>
        <w:t>.1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采收</w:t>
      </w:r>
      <w:bookmarkEnd w:id="79"/>
      <w:bookmarkEnd w:id="80"/>
    </w:p>
    <w:p w14:paraId="582CF4BF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9月2</w:t>
      </w:r>
      <w:r>
        <w:rPr>
          <w:rFonts w:ascii="宋体" w:hAnsi="Times New Roman" w:eastAsia="宋体" w:cs="Times New Roman"/>
          <w:color w:val="auto"/>
          <w:kern w:val="0"/>
          <w:szCs w:val="20"/>
        </w:rPr>
        <w:t>0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日前后，试挖荚果，当果壳内表皮出现黑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褐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色，荚果果壳网纹清晰，长成固有的形状时，为适宜收获期。采用机械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采收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，就地铺晒，一般应在9月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末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前收完，注意天气状况，严防霜冻。</w:t>
      </w:r>
    </w:p>
    <w:p w14:paraId="1EC7197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81" w:name="_Toc28221"/>
      <w:bookmarkStart w:id="82" w:name="_Toc20932"/>
      <w:r>
        <w:rPr>
          <w:rFonts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3</w:t>
      </w:r>
      <w:r>
        <w:rPr>
          <w:rFonts w:ascii="黑体" w:hAnsi="Times New Roman" w:eastAsia="黑体" w:cs="Times New Roman"/>
          <w:color w:val="auto"/>
          <w:kern w:val="0"/>
          <w:szCs w:val="20"/>
        </w:rPr>
        <w:t>.2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晾晒摘荚</w:t>
      </w:r>
      <w:bookmarkEnd w:id="81"/>
      <w:bookmarkEnd w:id="82"/>
    </w:p>
    <w:p w14:paraId="358B716B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采收后，在田间直接晾晒，及时翻晒，遇雨后要勤翻动，防止荚果长霉。荚果含水量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降至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15%以下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茎秆已经干透时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开始机械摘荚。</w:t>
      </w:r>
    </w:p>
    <w:p w14:paraId="18D96B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  <w:lang w:eastAsia="zh-CN"/>
        </w:rPr>
      </w:pPr>
      <w:bookmarkStart w:id="83" w:name="_Toc10011"/>
      <w:bookmarkStart w:id="84" w:name="_Toc22479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3</w:t>
      </w:r>
      <w:r>
        <w:rPr>
          <w:rFonts w:ascii="黑体" w:hAnsi="Times New Roman" w:eastAsia="黑体" w:cs="Times New Roman"/>
          <w:color w:val="auto"/>
          <w:kern w:val="0"/>
          <w:szCs w:val="20"/>
        </w:rPr>
        <w:t>.3</w:t>
      </w:r>
      <w:bookmarkEnd w:id="83"/>
      <w:bookmarkEnd w:id="84"/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晾晒脱粒</w:t>
      </w:r>
    </w:p>
    <w:p w14:paraId="343C39BA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摘荚后还要继续晾晒，水分降至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12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%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左右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进行脱粒加工。</w:t>
      </w:r>
    </w:p>
    <w:p w14:paraId="78DC11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ascii="黑体" w:hAnsi="Times New Roman" w:eastAsia="黑体" w:cs="Times New Roman"/>
          <w:color w:val="auto"/>
          <w:kern w:val="0"/>
          <w:szCs w:val="20"/>
        </w:rPr>
      </w:pPr>
      <w:bookmarkStart w:id="85" w:name="_Toc26515"/>
      <w:bookmarkStart w:id="86" w:name="_Toc4123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4出售贮藏</w:t>
      </w:r>
      <w:bookmarkEnd w:id="85"/>
      <w:bookmarkEnd w:id="86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ab/>
      </w:r>
    </w:p>
    <w:p w14:paraId="16F328F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Times New Roman" w:eastAsia="宋体" w:cs="Times New Roman"/>
          <w:color w:val="auto"/>
          <w:kern w:val="0"/>
          <w:szCs w:val="20"/>
        </w:rPr>
      </w:pP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脱粒后可直接出售，或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入库保存</w:t>
      </w:r>
      <w:r>
        <w:rPr>
          <w:rFonts w:hint="eastAsia" w:ascii="宋体" w:cs="Times New Roman"/>
          <w:color w:val="auto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仓库要有防鼠门，保持通风干燥，仓顶或</w:t>
      </w:r>
      <w:r>
        <w:rPr>
          <w:rFonts w:hint="eastAsia" w:ascii="宋体" w:hAnsi="Times New Roman" w:eastAsia="宋体" w:cs="Times New Roman"/>
          <w:color w:val="auto"/>
          <w:kern w:val="0"/>
          <w:szCs w:val="20"/>
          <w:lang w:val="en-US" w:eastAsia="zh-CN"/>
        </w:rPr>
        <w:t>垛</w:t>
      </w: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顶不要用塑料覆盖。</w:t>
      </w:r>
    </w:p>
    <w:p w14:paraId="6E8BC8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Times New Roman" w:eastAsia="黑体" w:cs="Times New Roman"/>
          <w:color w:val="auto"/>
          <w:kern w:val="0"/>
          <w:szCs w:val="20"/>
          <w:lang w:val="en-US" w:eastAsia="zh-CN"/>
        </w:rPr>
      </w:pPr>
      <w:bookmarkStart w:id="87" w:name="_Toc16868"/>
      <w:bookmarkStart w:id="88" w:name="_Toc13022"/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1</w:t>
      </w:r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auto"/>
          <w:kern w:val="0"/>
          <w:szCs w:val="20"/>
        </w:rPr>
        <w:t>检测</w:t>
      </w:r>
      <w:bookmarkEnd w:id="87"/>
      <w:bookmarkEnd w:id="88"/>
      <w:r>
        <w:rPr>
          <w:rFonts w:hint="eastAsia" w:ascii="黑体" w:eastAsia="黑体" w:cs="Times New Roman"/>
          <w:color w:val="auto"/>
          <w:kern w:val="0"/>
          <w:szCs w:val="20"/>
          <w:lang w:val="en-US" w:eastAsia="zh-CN"/>
        </w:rPr>
        <w:t>出售</w:t>
      </w:r>
    </w:p>
    <w:p w14:paraId="3B57A6C6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Times New Roman" w:eastAsia="宋体" w:cs="Times New Roman"/>
          <w:color w:val="auto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Cs w:val="20"/>
        </w:rPr>
        <w:t>出售前取样检测，</w:t>
      </w:r>
      <w:r>
        <w:rPr>
          <w:rFonts w:hint="eastAsia" w:ascii="宋体" w:cs="Times New Roman"/>
          <w:color w:val="auto"/>
          <w:kern w:val="0"/>
          <w:szCs w:val="20"/>
          <w:lang w:val="en-US" w:eastAsia="zh-CN"/>
        </w:rPr>
        <w:t>送到检测机构进行检测,检验合格作为出口花生出售。</w:t>
      </w:r>
    </w:p>
    <w:p w14:paraId="09883BA3">
      <w:pPr>
        <w:pStyle w:val="107"/>
        <w:rPr>
          <w:rFonts w:hint="eastAsia"/>
        </w:rPr>
      </w:pPr>
      <w:r>
        <w:t>________________________________</w:t>
      </w:r>
    </w:p>
    <w:p w14:paraId="1641BEB5">
      <w:pPr>
        <w:rPr>
          <w:color w:val="auto"/>
        </w:rPr>
      </w:pPr>
    </w:p>
    <w:p w14:paraId="0D2044C7">
      <w:pPr>
        <w:rPr>
          <w:rFonts w:hint="eastAsia"/>
          <w:color w:val="auto"/>
        </w:rPr>
      </w:pPr>
    </w:p>
    <w:p w14:paraId="7689DCA4">
      <w:pPr>
        <w:spacing w:line="360" w:lineRule="auto"/>
        <w:rPr>
          <w:rFonts w:hint="eastAsia"/>
        </w:rPr>
      </w:pPr>
    </w:p>
    <w:sectPr>
      <w:headerReference r:id="rId6" w:type="default"/>
      <w:footerReference r:id="rId7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8B6B">
    <w:pPr>
      <w:pStyle w:val="46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431E4">
    <w:pPr>
      <w:pStyle w:val="47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37D5D">
    <w:pPr>
      <w:pStyle w:val="23"/>
      <w:pBdr>
        <w:bottom w:val="none" w:color="auto" w:sz="0" w:space="1"/>
      </w:pBdr>
      <w:jc w:val="left"/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 xml:space="preserve"> —2024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7F564">
    <w:pPr>
      <w:pStyle w:val="50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0DC48">
    <w:pPr>
      <w:pStyle w:val="23"/>
      <w:pBdr>
        <w:bottom w:val="none" w:color="auto" w:sz="0" w:space="1"/>
      </w:pBdr>
      <w:jc w:val="right"/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4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I0NDc5ZTE2OGU2N2I1MWZmNjJhNThkNDNjM2EifQ=="/>
  </w:docVars>
  <w:rsids>
    <w:rsidRoot w:val="00145FD9"/>
    <w:rsid w:val="00145FD9"/>
    <w:rsid w:val="004249EE"/>
    <w:rsid w:val="004C2BDC"/>
    <w:rsid w:val="00935D25"/>
    <w:rsid w:val="00CC5BA3"/>
    <w:rsid w:val="00F024E2"/>
    <w:rsid w:val="050745CD"/>
    <w:rsid w:val="089A7F17"/>
    <w:rsid w:val="12991D8E"/>
    <w:rsid w:val="188D6D30"/>
    <w:rsid w:val="28EC7A75"/>
    <w:rsid w:val="2FB53D31"/>
    <w:rsid w:val="30FB41C0"/>
    <w:rsid w:val="332E62F1"/>
    <w:rsid w:val="37AD7D28"/>
    <w:rsid w:val="38845087"/>
    <w:rsid w:val="3B2356FB"/>
    <w:rsid w:val="43B85168"/>
    <w:rsid w:val="4D20220D"/>
    <w:rsid w:val="529162D8"/>
    <w:rsid w:val="5CE71A65"/>
    <w:rsid w:val="608A52EF"/>
    <w:rsid w:val="694A2693"/>
    <w:rsid w:val="6F7C46EB"/>
    <w:rsid w:val="731F10EE"/>
    <w:rsid w:val="7EDB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semiHidden/>
    <w:qFormat/>
    <w:uiPriority w:val="0"/>
  </w:style>
  <w:style w:type="paragraph" w:styleId="12">
    <w:name w:val="toc 6"/>
    <w:basedOn w:val="13"/>
    <w:semiHidden/>
    <w:qFormat/>
    <w:uiPriority w:val="0"/>
  </w:style>
  <w:style w:type="paragraph" w:styleId="13">
    <w:name w:val="toc 5"/>
    <w:basedOn w:val="14"/>
    <w:semiHidden/>
    <w:qFormat/>
    <w:uiPriority w:val="0"/>
  </w:style>
  <w:style w:type="paragraph" w:styleId="14">
    <w:name w:val="toc 4"/>
    <w:basedOn w:val="15"/>
    <w:semiHidden/>
    <w:qFormat/>
    <w:uiPriority w:val="0"/>
  </w:style>
  <w:style w:type="paragraph" w:styleId="15">
    <w:name w:val="toc 3"/>
    <w:basedOn w:val="16"/>
    <w:semiHidden/>
    <w:qFormat/>
    <w:uiPriority w:val="0"/>
  </w:style>
  <w:style w:type="paragraph" w:styleId="16">
    <w:name w:val="toc 2"/>
    <w:basedOn w:val="1"/>
    <w:next w:val="1"/>
    <w:semiHidden/>
    <w:qFormat/>
    <w:uiPriority w:val="0"/>
  </w:style>
  <w:style w:type="paragraph" w:styleId="17">
    <w:name w:val="annotation text"/>
    <w:basedOn w:val="1"/>
    <w:qFormat/>
    <w:uiPriority w:val="0"/>
    <w:pPr>
      <w:jc w:val="left"/>
    </w:pPr>
  </w:style>
  <w:style w:type="paragraph" w:styleId="18">
    <w:name w:val="Body Text Indent"/>
    <w:basedOn w:val="1"/>
    <w:qFormat/>
    <w:uiPriority w:val="0"/>
    <w:pPr>
      <w:spacing w:after="120"/>
      <w:ind w:left="420" w:leftChars="200"/>
    </w:p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toc 8"/>
    <w:basedOn w:val="11"/>
    <w:semiHidden/>
    <w:qFormat/>
    <w:uiPriority w:val="0"/>
  </w:style>
  <w:style w:type="paragraph" w:styleId="21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9"/>
    <w:basedOn w:val="20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4">
    <w:name w:val="HTML Definition"/>
    <w:basedOn w:val="32"/>
    <w:qFormat/>
    <w:uiPriority w:val="0"/>
    <w:rPr>
      <w:i/>
      <w:iCs/>
    </w:rPr>
  </w:style>
  <w:style w:type="character" w:styleId="35">
    <w:name w:val="HTML Typewriter"/>
    <w:basedOn w:val="32"/>
    <w:qFormat/>
    <w:uiPriority w:val="0"/>
    <w:rPr>
      <w:rFonts w:ascii="Courier New" w:hAnsi="Courier New"/>
      <w:sz w:val="20"/>
      <w:szCs w:val="20"/>
    </w:rPr>
  </w:style>
  <w:style w:type="character" w:styleId="36">
    <w:name w:val="HTML Acronym"/>
    <w:basedOn w:val="32"/>
    <w:qFormat/>
    <w:uiPriority w:val="0"/>
  </w:style>
  <w:style w:type="character" w:styleId="37">
    <w:name w:val="HTML Variable"/>
    <w:basedOn w:val="32"/>
    <w:qFormat/>
    <w:uiPriority w:val="0"/>
    <w:rPr>
      <w:i/>
      <w:iCs/>
    </w:rPr>
  </w:style>
  <w:style w:type="character" w:styleId="38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9">
    <w:name w:val="HTML Code"/>
    <w:basedOn w:val="32"/>
    <w:qFormat/>
    <w:uiPriority w:val="0"/>
    <w:rPr>
      <w:rFonts w:ascii="Courier New" w:hAnsi="Courier New"/>
      <w:sz w:val="20"/>
      <w:szCs w:val="20"/>
    </w:rPr>
  </w:style>
  <w:style w:type="character" w:styleId="40">
    <w:name w:val="HTML Cite"/>
    <w:basedOn w:val="32"/>
    <w:qFormat/>
    <w:uiPriority w:val="0"/>
    <w:rPr>
      <w:i/>
      <w:iCs/>
    </w:rPr>
  </w:style>
  <w:style w:type="character" w:styleId="41">
    <w:name w:val="footnote reference"/>
    <w:basedOn w:val="32"/>
    <w:semiHidden/>
    <w:qFormat/>
    <w:uiPriority w:val="0"/>
    <w:rPr>
      <w:vertAlign w:val="superscript"/>
    </w:rPr>
  </w:style>
  <w:style w:type="character" w:styleId="42">
    <w:name w:val="HTML Keyboard"/>
    <w:basedOn w:val="32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basedOn w:val="32"/>
    <w:qFormat/>
    <w:uiPriority w:val="0"/>
    <w:rPr>
      <w:rFonts w:ascii="Courier New" w:hAnsi="Courier New"/>
    </w:rPr>
  </w:style>
  <w:style w:type="paragraph" w:customStyle="1" w:styleId="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9">
    <w:name w:val="标准书眉_偶数页"/>
    <w:basedOn w:val="48"/>
    <w:next w:val="1"/>
    <w:qFormat/>
    <w:uiPriority w:val="0"/>
    <w:pPr>
      <w:jc w:val="left"/>
    </w:pPr>
  </w:style>
  <w:style w:type="paragraph" w:customStyle="1" w:styleId="5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2">
    <w:name w:val="参考文献、索引标题"/>
    <w:basedOn w:val="51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5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章标题"/>
    <w:next w:val="53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一级条标题"/>
    <w:basedOn w:val="54"/>
    <w:next w:val="53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56">
    <w:name w:val="二级条标题"/>
    <w:basedOn w:val="55"/>
    <w:next w:val="53"/>
    <w:qFormat/>
    <w:uiPriority w:val="0"/>
    <w:pPr>
      <w:numPr>
        <w:ilvl w:val="3"/>
        <w:numId w:val="1"/>
      </w:numPr>
      <w:outlineLvl w:val="3"/>
    </w:pPr>
  </w:style>
  <w:style w:type="paragraph" w:customStyle="1" w:styleId="57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8">
    <w:name w:val="发布"/>
    <w:basedOn w:val="32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9">
    <w:name w:val="发布部门"/>
    <w:next w:val="5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2">
    <w:name w:val="封面标准号2"/>
    <w:basedOn w:val="61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63">
    <w:name w:val="封面标准代替信息"/>
    <w:basedOn w:val="62"/>
    <w:qFormat/>
    <w:uiPriority w:val="0"/>
    <w:pPr>
      <w:spacing w:before="57"/>
    </w:pPr>
    <w:rPr>
      <w:rFonts w:ascii="宋体"/>
      <w:sz w:val="21"/>
    </w:rPr>
  </w:style>
  <w:style w:type="paragraph" w:customStyle="1" w:styleId="6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附录标识"/>
    <w:basedOn w:val="5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1">
    <w:name w:val="附录表标题"/>
    <w:next w:val="53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附录章标题"/>
    <w:next w:val="53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一级条标题"/>
    <w:basedOn w:val="72"/>
    <w:next w:val="53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74">
    <w:name w:val="附录二级条标题"/>
    <w:basedOn w:val="73"/>
    <w:next w:val="53"/>
    <w:qFormat/>
    <w:uiPriority w:val="0"/>
    <w:pPr>
      <w:numPr>
        <w:ilvl w:val="3"/>
        <w:numId w:val="3"/>
      </w:numPr>
      <w:outlineLvl w:val="3"/>
    </w:pPr>
  </w:style>
  <w:style w:type="paragraph" w:customStyle="1" w:styleId="75">
    <w:name w:val="附录三级条标题"/>
    <w:basedOn w:val="74"/>
    <w:next w:val="53"/>
    <w:qFormat/>
    <w:uiPriority w:val="0"/>
    <w:pPr>
      <w:numPr>
        <w:ilvl w:val="4"/>
        <w:numId w:val="3"/>
      </w:numPr>
      <w:outlineLvl w:val="4"/>
    </w:pPr>
  </w:style>
  <w:style w:type="paragraph" w:customStyle="1" w:styleId="76">
    <w:name w:val="附录四级条标题"/>
    <w:basedOn w:val="75"/>
    <w:next w:val="53"/>
    <w:qFormat/>
    <w:uiPriority w:val="0"/>
    <w:pPr>
      <w:numPr>
        <w:ilvl w:val="5"/>
        <w:numId w:val="3"/>
      </w:numPr>
      <w:outlineLvl w:val="5"/>
    </w:pPr>
  </w:style>
  <w:style w:type="paragraph" w:customStyle="1" w:styleId="77">
    <w:name w:val="附录图标题"/>
    <w:next w:val="5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附录五级条标题"/>
    <w:basedOn w:val="76"/>
    <w:next w:val="53"/>
    <w:qFormat/>
    <w:uiPriority w:val="0"/>
    <w:pPr>
      <w:numPr>
        <w:ilvl w:val="6"/>
        <w:numId w:val="3"/>
      </w:numPr>
      <w:outlineLvl w:val="6"/>
    </w:pPr>
  </w:style>
  <w:style w:type="character" w:customStyle="1" w:styleId="79">
    <w:name w:val="个人答复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0">
    <w:name w:val="个人撰写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1">
    <w:name w:val="列项——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项·"/>
    <w:qFormat/>
    <w:uiPriority w:val="0"/>
    <w:pPr>
      <w:numPr>
        <w:ilvl w:val="0"/>
        <w:numId w:val="5"/>
      </w:numPr>
      <w:tabs>
        <w:tab w:val="left" w:pos="360"/>
        <w:tab w:val="left" w:pos="84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目次、标准名称标题"/>
    <w:basedOn w:val="51"/>
    <w:next w:val="53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6">
    <w:name w:val="其他发布部门"/>
    <w:basedOn w:val="5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三级条标题"/>
    <w:basedOn w:val="56"/>
    <w:next w:val="53"/>
    <w:qFormat/>
    <w:uiPriority w:val="0"/>
    <w:pPr>
      <w:numPr>
        <w:ilvl w:val="4"/>
        <w:numId w:val="1"/>
      </w:numPr>
      <w:outlineLvl w:val="4"/>
    </w:pPr>
  </w:style>
  <w:style w:type="paragraph" w:customStyle="1" w:styleId="88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89">
    <w:name w:val="实施日期"/>
    <w:basedOn w:val="60"/>
    <w:qFormat/>
    <w:uiPriority w:val="0"/>
    <w:pPr>
      <w:framePr w:hSpace="0" w:xAlign="right"/>
      <w:jc w:val="right"/>
    </w:pPr>
  </w:style>
  <w:style w:type="paragraph" w:customStyle="1" w:styleId="90">
    <w:name w:val="示例"/>
    <w:next w:val="53"/>
    <w:qFormat/>
    <w:uiPriority w:val="0"/>
    <w:pPr>
      <w:numPr>
        <w:ilvl w:val="0"/>
        <w:numId w:val="6"/>
      </w:numPr>
      <w:tabs>
        <w:tab w:val="left" w:pos="360"/>
        <w:tab w:val="clear" w:pos="1120"/>
      </w:tabs>
      <w:ind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7"/>
    <w:next w:val="53"/>
    <w:qFormat/>
    <w:uiPriority w:val="0"/>
    <w:pPr>
      <w:numPr>
        <w:ilvl w:val="5"/>
        <w:numId w:val="1"/>
      </w:numPr>
      <w:outlineLvl w:val="5"/>
    </w:pPr>
  </w:style>
  <w:style w:type="paragraph" w:customStyle="1" w:styleId="93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4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5">
    <w:name w:val="图表脚注"/>
    <w:next w:val="5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7">
    <w:name w:val="无标题条"/>
    <w:next w:val="53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五级条标题"/>
    <w:basedOn w:val="92"/>
    <w:next w:val="53"/>
    <w:qFormat/>
    <w:uiPriority w:val="0"/>
    <w:pPr>
      <w:numPr>
        <w:ilvl w:val="6"/>
        <w:numId w:val="1"/>
      </w:numPr>
      <w:outlineLvl w:val="6"/>
    </w:pPr>
  </w:style>
  <w:style w:type="paragraph" w:customStyle="1" w:styleId="99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0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1">
    <w:name w:val="正文表标题"/>
    <w:next w:val="53"/>
    <w:qFormat/>
    <w:uiPriority w:val="0"/>
    <w:pPr>
      <w:numPr>
        <w:ilvl w:val="0"/>
        <w:numId w:val="7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正文图标题"/>
    <w:next w:val="53"/>
    <w:qFormat/>
    <w:uiPriority w:val="0"/>
    <w:pPr>
      <w:numPr>
        <w:ilvl w:val="0"/>
        <w:numId w:val="8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注："/>
    <w:next w:val="53"/>
    <w:qFormat/>
    <w:uiPriority w:val="0"/>
    <w:pPr>
      <w:widowControl w:val="0"/>
      <w:numPr>
        <w:ilvl w:val="0"/>
        <w:numId w:val="9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注×："/>
    <w:qFormat/>
    <w:uiPriority w:val="0"/>
    <w:pPr>
      <w:widowControl w:val="0"/>
      <w:numPr>
        <w:ilvl w:val="0"/>
        <w:numId w:val="10"/>
      </w:numPr>
      <w:tabs>
        <w:tab w:val="left" w:pos="360"/>
        <w:tab w:val="left" w:pos="630"/>
        <w:tab w:val="clear" w:pos="90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_Style 103"/>
    <w:basedOn w:val="1"/>
    <w:next w:val="26"/>
    <w:qFormat/>
    <w:uiPriority w:val="0"/>
    <w:pPr>
      <w:spacing w:line="360" w:lineRule="auto"/>
      <w:ind w:firstLine="570"/>
    </w:pPr>
    <w:rPr>
      <w:rFonts w:ascii="宋体" w:hAnsi="宋体"/>
    </w:rPr>
  </w:style>
  <w:style w:type="paragraph" w:customStyle="1" w:styleId="107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8</Pages>
  <Words>2699</Words>
  <Characters>3097</Characters>
  <Lines>26</Lines>
  <Paragraphs>7</Paragraphs>
  <TotalTime>5</TotalTime>
  <ScaleCrop>false</ScaleCrop>
  <LinksUpToDate>false</LinksUpToDate>
  <CharactersWithSpaces>3149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2003-05-27T02:06:00Z</dcterms:created>
  <dc:creator>guohx</dc:creator>
  <cp:lastModifiedBy>父母健康</cp:lastModifiedBy>
  <cp:lastPrinted>2003-05-27T02:03:00Z</cp:lastPrinted>
  <dcterms:modified xsi:type="dcterms:W3CDTF">2024-11-19T15:25:15Z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B920C41E334840F2AF9BF3F8C617045A_13</vt:lpwstr>
  </property>
</Properties>
</file>