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eastAsia="仿宋_GB2312"/>
          <w:sz w:val="30"/>
          <w:szCs w:val="30"/>
        </w:rPr>
      </w:pPr>
      <w:bookmarkStart w:id="5" w:name="_GoBack"/>
      <w:bookmarkEnd w:id="5"/>
    </w:p>
    <w:p>
      <w:pPr>
        <w:rPr>
          <w:rFonts w:ascii="仿宋_GB2312" w:eastAsia="仿宋_GB2312"/>
          <w:sz w:val="30"/>
          <w:szCs w:val="30"/>
        </w:rPr>
      </w:pPr>
    </w:p>
    <w:p>
      <w:pPr>
        <w:rPr>
          <w:rFonts w:ascii="仿宋_GB2312" w:eastAsia="仿宋_GB2312"/>
          <w:sz w:val="30"/>
          <w:szCs w:val="30"/>
        </w:rPr>
      </w:pPr>
    </w:p>
    <w:p>
      <w:pPr>
        <w:spacing w:line="900" w:lineRule="exact"/>
        <w:jc w:val="center"/>
        <w:rPr>
          <w:rFonts w:ascii="方正小标宋简体" w:hAnsi="华文细黑" w:eastAsia="方正小标宋简体"/>
          <w:color w:val="FF0000"/>
          <w:w w:val="82"/>
          <w:sz w:val="84"/>
          <w:szCs w:val="84"/>
        </w:rPr>
      </w:pPr>
      <w:r>
        <w:rPr>
          <w:rFonts w:hint="eastAsia" w:ascii="方正小标宋简体" w:hAnsi="华文细黑" w:eastAsia="方正小标宋简体"/>
          <w:color w:val="FF0000"/>
          <w:w w:val="82"/>
          <w:sz w:val="84"/>
          <w:szCs w:val="84"/>
        </w:rPr>
        <w:t>辽宁省市场监督管理局文件</w:t>
      </w:r>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bookmarkStart w:id="0" w:name="NO"/>
      <w:r>
        <w:rPr>
          <w:rFonts w:hint="eastAsia" w:ascii="仿宋_GB2312" w:eastAsia="仿宋_GB2312"/>
          <w:sz w:val="32"/>
          <w:szCs w:val="32"/>
        </w:rPr>
        <w:t>辽市监发〔2019〕46号</w:t>
      </w:r>
      <w:bookmarkEnd w:id="0"/>
      <w:r>
        <w:rPr>
          <w:rFonts w:ascii="仿宋_GB2312" w:eastAsia="仿宋_GB2312"/>
          <w:sz w:val="32"/>
          <w:szCs w:val="32"/>
        </w:rPr>
        <w:pict>
          <v:line id="_x0000_s1029" o:spid="_x0000_s1029" o:spt="20" style="position:absolute;left:0pt;margin-left:0pt;margin-top:26.25pt;height:0pt;width:442.2pt;z-index:251659264;mso-width-relative:page;mso-height-relative:page;" stroked="t" coordsize="21600,21600">
            <v:path arrowok="t"/>
            <v:fill focussize="0,0"/>
            <v:stroke weight="1.5pt" color="#FF0000"/>
            <v:imagedata o:title=""/>
            <o:lock v:ext="edit"/>
          </v:line>
        </w:pict>
      </w:r>
    </w:p>
    <w:p>
      <w:pPr>
        <w:rPr>
          <w:rFonts w:ascii="仿宋_GB2312" w:eastAsia="仿宋_GB2312"/>
          <w:sz w:val="32"/>
          <w:szCs w:val="32"/>
        </w:rPr>
      </w:pPr>
    </w:p>
    <w:p>
      <w:pPr>
        <w:rPr>
          <w:rFonts w:ascii="仿宋_GB2312" w:eastAsia="仿宋_GB2312"/>
          <w:sz w:val="32"/>
          <w:szCs w:val="32"/>
        </w:rPr>
      </w:pPr>
    </w:p>
    <w:p>
      <w:pPr>
        <w:spacing w:line="560" w:lineRule="exact"/>
        <w:jc w:val="center"/>
        <w:rPr>
          <w:rFonts w:ascii="方正小标宋简体" w:hAnsi="华文细黑" w:eastAsia="方正小标宋简体"/>
          <w:sz w:val="44"/>
          <w:szCs w:val="44"/>
        </w:rPr>
      </w:pPr>
      <w:bookmarkStart w:id="1" w:name="Title"/>
      <w:r>
        <w:rPr>
          <w:rFonts w:hint="eastAsia" w:ascii="方正小标宋简体" w:hAnsi="华文细黑" w:eastAsia="方正小标宋简体"/>
          <w:sz w:val="44"/>
          <w:szCs w:val="44"/>
        </w:rPr>
        <w:t>关于调整辽宁省工商登记后置审批</w:t>
      </w:r>
    </w:p>
    <w:p>
      <w:pPr>
        <w:spacing w:line="560" w:lineRule="exact"/>
        <w:jc w:val="center"/>
        <w:rPr>
          <w:rFonts w:ascii="方正小标宋简体" w:hAnsi="华文细黑" w:eastAsia="方正小标宋简体"/>
          <w:sz w:val="44"/>
          <w:szCs w:val="44"/>
        </w:rPr>
      </w:pPr>
      <w:r>
        <w:rPr>
          <w:rFonts w:hint="eastAsia" w:ascii="方正小标宋简体" w:hAnsi="华文细黑" w:eastAsia="方正小标宋简体"/>
          <w:sz w:val="44"/>
          <w:szCs w:val="44"/>
        </w:rPr>
        <w:t>事项目录的通知</w:t>
      </w:r>
      <w:bookmarkEnd w:id="1"/>
    </w:p>
    <w:p>
      <w:pPr>
        <w:spacing w:line="900" w:lineRule="exact"/>
        <w:rPr>
          <w:rFonts w:ascii="仿宋_GB2312" w:eastAsia="仿宋_GB2312"/>
          <w:sz w:val="32"/>
          <w:szCs w:val="32"/>
        </w:rPr>
      </w:pPr>
    </w:p>
    <w:p>
      <w:pPr>
        <w:rPr>
          <w:rFonts w:ascii="仿宋_GB2312" w:eastAsia="仿宋_GB2312"/>
          <w:sz w:val="32"/>
          <w:szCs w:val="32"/>
        </w:rPr>
      </w:pPr>
      <w:bookmarkStart w:id="2" w:name="ZS"/>
      <w:r>
        <w:rPr>
          <w:rFonts w:hint="eastAsia" w:ascii="仿宋_GB2312" w:eastAsia="仿宋_GB2312"/>
          <w:sz w:val="32"/>
          <w:szCs w:val="32"/>
        </w:rPr>
        <w:t>各市、沈抚新区市场监督管理局,省市场监督管理局审批处</w:t>
      </w:r>
      <w:bookmarkEnd w:id="2"/>
      <w:r>
        <w:rPr>
          <w:rFonts w:hint="eastAsia" w:ascii="仿宋_GB2312" w:eastAsia="仿宋_GB2312"/>
          <w:sz w:val="32"/>
          <w:szCs w:val="32"/>
        </w:rPr>
        <w:t>：</w:t>
      </w:r>
    </w:p>
    <w:p>
      <w:pPr>
        <w:spacing w:line="560" w:lineRule="exact"/>
        <w:ind w:firstLine="622" w:firstLineChars="200"/>
        <w:jc w:val="left"/>
        <w:rPr>
          <w:rFonts w:ascii="Times New Roman" w:hAnsi="Times New Roman" w:eastAsia="仿宋_GB2312" w:cs="宋体"/>
          <w:bCs/>
          <w:kern w:val="0"/>
          <w:sz w:val="32"/>
          <w:szCs w:val="32"/>
        </w:rPr>
      </w:pPr>
      <w:bookmarkStart w:id="3" w:name="Text"/>
      <w:r>
        <w:rPr>
          <w:rFonts w:hint="eastAsia" w:ascii="Times New Roman" w:hAnsi="Times New Roman" w:eastAsia="仿宋_GB2312" w:cs="宋体"/>
          <w:bCs/>
          <w:kern w:val="0"/>
          <w:sz w:val="32"/>
          <w:szCs w:val="32"/>
        </w:rPr>
        <w:t>按照《国务院关于取消和下放一批行政许可事项的决定》（国发〔2019〕6号）部署要求，经与相关部门沟通确认，现对《辽宁省工商登记后置审批事项目录（2019年1月）》作出如下调整：</w:t>
      </w:r>
    </w:p>
    <w:p>
      <w:pPr>
        <w:spacing w:line="560" w:lineRule="exact"/>
        <w:ind w:firstLine="622" w:firstLineChars="200"/>
        <w:jc w:val="left"/>
        <w:rPr>
          <w:rFonts w:ascii="黑体" w:hAnsi="黑体" w:eastAsia="黑体" w:cs="宋体"/>
          <w:bCs/>
          <w:kern w:val="0"/>
          <w:sz w:val="32"/>
          <w:szCs w:val="32"/>
        </w:rPr>
      </w:pPr>
      <w:r>
        <w:rPr>
          <w:rFonts w:hint="eastAsia" w:ascii="黑体" w:hAnsi="黑体" w:eastAsia="黑体" w:cs="宋体"/>
          <w:bCs/>
          <w:kern w:val="0"/>
          <w:sz w:val="32"/>
          <w:szCs w:val="32"/>
        </w:rPr>
        <w:t>一、取消1项</w:t>
      </w:r>
    </w:p>
    <w:p>
      <w:pPr>
        <w:spacing w:line="560" w:lineRule="exact"/>
        <w:ind w:firstLine="622" w:firstLineChars="200"/>
        <w:jc w:val="left"/>
        <w:rPr>
          <w:rFonts w:ascii="Times New Roman" w:hAnsi="Times New Roman" w:eastAsia="仿宋_GB2312" w:cs="宋体"/>
          <w:bCs/>
          <w:kern w:val="0"/>
          <w:sz w:val="32"/>
          <w:szCs w:val="32"/>
        </w:rPr>
      </w:pPr>
      <w:r>
        <w:rPr>
          <w:rFonts w:hint="eastAsia" w:ascii="Times New Roman" w:hAnsi="Times New Roman" w:eastAsia="仿宋_GB2312" w:cs="宋体"/>
          <w:bCs/>
          <w:kern w:val="0"/>
          <w:sz w:val="32"/>
          <w:szCs w:val="32"/>
        </w:rPr>
        <w:t>原第23项由省民政厅实施的</w:t>
      </w:r>
      <w:r>
        <w:rPr>
          <w:rFonts w:hint="eastAsia" w:ascii="Times New Roman" w:hAnsi="Times New Roman" w:eastAsia="仿宋_GB2312" w:cs="宋体"/>
          <w:b/>
          <w:bCs/>
          <w:kern w:val="0"/>
          <w:sz w:val="32"/>
          <w:szCs w:val="32"/>
        </w:rPr>
        <w:t>“假肢和矫形器（辅助器具）生产装配企业资格认定”</w:t>
      </w:r>
      <w:r>
        <w:rPr>
          <w:rFonts w:hint="eastAsia" w:ascii="Times New Roman" w:hAnsi="Times New Roman" w:eastAsia="仿宋_GB2312" w:cs="宋体"/>
          <w:bCs/>
          <w:kern w:val="0"/>
          <w:sz w:val="32"/>
          <w:szCs w:val="32"/>
        </w:rPr>
        <w:t>。</w:t>
      </w:r>
    </w:p>
    <w:p>
      <w:pPr>
        <w:spacing w:line="560" w:lineRule="exact"/>
        <w:ind w:firstLine="622" w:firstLineChars="200"/>
        <w:jc w:val="left"/>
        <w:rPr>
          <w:rFonts w:ascii="黑体" w:hAnsi="黑体" w:eastAsia="黑体" w:cs="宋体"/>
          <w:bCs/>
          <w:kern w:val="0"/>
          <w:sz w:val="32"/>
          <w:szCs w:val="32"/>
        </w:rPr>
      </w:pPr>
      <w:r>
        <w:rPr>
          <w:rFonts w:hint="eastAsia" w:ascii="黑体" w:hAnsi="黑体" w:eastAsia="黑体" w:cs="宋体"/>
          <w:bCs/>
          <w:kern w:val="0"/>
          <w:sz w:val="32"/>
          <w:szCs w:val="32"/>
        </w:rPr>
        <w:t>二、修订调整4项</w:t>
      </w:r>
    </w:p>
    <w:p>
      <w:pPr>
        <w:spacing w:line="560" w:lineRule="exact"/>
        <w:ind w:firstLine="622" w:firstLineChars="200"/>
        <w:jc w:val="left"/>
        <w:rPr>
          <w:rFonts w:ascii="Times New Roman" w:hAnsi="Times New Roman" w:eastAsia="仿宋_GB2312" w:cs="宋体"/>
          <w:bCs/>
          <w:kern w:val="0"/>
          <w:sz w:val="32"/>
          <w:szCs w:val="32"/>
        </w:rPr>
      </w:pPr>
      <w:r>
        <w:rPr>
          <w:rFonts w:hint="eastAsia" w:ascii="Times New Roman" w:hAnsi="Times New Roman" w:eastAsia="仿宋_GB2312" w:cs="宋体"/>
          <w:bCs/>
          <w:kern w:val="0"/>
          <w:sz w:val="32"/>
          <w:szCs w:val="32"/>
        </w:rPr>
        <w:t>1.将原第58项“从事内地与台湾、港澳间海上运输业务经营许可”修订为</w:t>
      </w:r>
      <w:r>
        <w:rPr>
          <w:rFonts w:hint="eastAsia" w:ascii="Times New Roman" w:hAnsi="Times New Roman" w:eastAsia="仿宋_GB2312" w:cs="宋体"/>
          <w:b/>
          <w:bCs/>
          <w:kern w:val="0"/>
          <w:sz w:val="32"/>
          <w:szCs w:val="32"/>
        </w:rPr>
        <w:t>“从事内地与港澳间客船（含客滚船、客货船等）、散装液体危险品船运输业务许可”</w:t>
      </w:r>
      <w:r>
        <w:rPr>
          <w:rFonts w:hint="eastAsia" w:ascii="Times New Roman" w:hAnsi="Times New Roman" w:eastAsia="仿宋_GB2312" w:cs="宋体"/>
          <w:bCs/>
          <w:kern w:val="0"/>
          <w:sz w:val="32"/>
          <w:szCs w:val="32"/>
        </w:rPr>
        <w:t>，将其实施机关由“交通运输部”调整为</w:t>
      </w:r>
      <w:r>
        <w:rPr>
          <w:rFonts w:hint="eastAsia" w:ascii="Times New Roman" w:hAnsi="Times New Roman" w:eastAsia="仿宋_GB2312" w:cs="宋体"/>
          <w:b/>
          <w:bCs/>
          <w:kern w:val="0"/>
          <w:sz w:val="32"/>
          <w:szCs w:val="32"/>
        </w:rPr>
        <w:t>“省交通运输厅”</w:t>
      </w:r>
      <w:r>
        <w:rPr>
          <w:rFonts w:hint="eastAsia" w:ascii="Times New Roman" w:hAnsi="Times New Roman" w:eastAsia="仿宋_GB2312" w:cs="宋体"/>
          <w:bCs/>
          <w:kern w:val="0"/>
          <w:sz w:val="32"/>
          <w:szCs w:val="32"/>
        </w:rPr>
        <w:t>；</w:t>
      </w:r>
    </w:p>
    <w:p>
      <w:pPr>
        <w:spacing w:line="560" w:lineRule="exact"/>
        <w:ind w:firstLine="622" w:firstLineChars="200"/>
        <w:jc w:val="left"/>
        <w:rPr>
          <w:rFonts w:ascii="Times New Roman" w:hAnsi="Times New Roman" w:eastAsia="仿宋_GB2312" w:cs="宋体"/>
          <w:bCs/>
          <w:kern w:val="0"/>
          <w:sz w:val="32"/>
          <w:szCs w:val="32"/>
        </w:rPr>
      </w:pPr>
      <w:r>
        <w:rPr>
          <w:rFonts w:hint="eastAsia" w:ascii="Times New Roman" w:hAnsi="Times New Roman" w:eastAsia="仿宋_GB2312" w:cs="宋体"/>
          <w:bCs/>
          <w:kern w:val="0"/>
          <w:sz w:val="32"/>
          <w:szCs w:val="32"/>
        </w:rPr>
        <w:t>2.将原第62项“从事国际道路运输审批”修订为</w:t>
      </w:r>
      <w:r>
        <w:rPr>
          <w:rFonts w:hint="eastAsia" w:ascii="Times New Roman" w:hAnsi="Times New Roman" w:eastAsia="仿宋_GB2312" w:cs="宋体"/>
          <w:b/>
          <w:bCs/>
          <w:kern w:val="0"/>
          <w:sz w:val="32"/>
          <w:szCs w:val="32"/>
        </w:rPr>
        <w:t>“从事国际道路运输审批（国际道路货物运输除外）”</w:t>
      </w:r>
      <w:r>
        <w:rPr>
          <w:rFonts w:hint="eastAsia" w:ascii="Times New Roman" w:hAnsi="Times New Roman" w:eastAsia="仿宋_GB2312" w:cs="宋体"/>
          <w:bCs/>
          <w:kern w:val="0"/>
          <w:sz w:val="32"/>
          <w:szCs w:val="32"/>
        </w:rPr>
        <w:t>；</w:t>
      </w:r>
    </w:p>
    <w:p>
      <w:pPr>
        <w:spacing w:line="560" w:lineRule="exact"/>
        <w:ind w:firstLine="622" w:firstLineChars="200"/>
        <w:jc w:val="left"/>
        <w:rPr>
          <w:rFonts w:ascii="Times New Roman" w:hAnsi="Times New Roman" w:eastAsia="仿宋_GB2312" w:cs="宋体"/>
          <w:bCs/>
          <w:kern w:val="0"/>
          <w:sz w:val="32"/>
          <w:szCs w:val="32"/>
        </w:rPr>
      </w:pPr>
      <w:r>
        <w:rPr>
          <w:rFonts w:hint="eastAsia" w:ascii="Times New Roman" w:hAnsi="Times New Roman" w:eastAsia="仿宋_GB2312" w:cs="宋体"/>
          <w:bCs/>
          <w:kern w:val="0"/>
          <w:sz w:val="32"/>
          <w:szCs w:val="32"/>
        </w:rPr>
        <w:t>3.将原第64项“道路运输站（场）经营业务许可证核发”修订为</w:t>
      </w:r>
      <w:r>
        <w:rPr>
          <w:rFonts w:hint="eastAsia" w:ascii="Times New Roman" w:hAnsi="Times New Roman" w:eastAsia="仿宋_GB2312" w:cs="宋体"/>
          <w:b/>
          <w:bCs/>
          <w:kern w:val="0"/>
          <w:sz w:val="32"/>
          <w:szCs w:val="32"/>
        </w:rPr>
        <w:t>“道路客运站经营许可”</w:t>
      </w:r>
      <w:r>
        <w:rPr>
          <w:rFonts w:hint="eastAsia" w:ascii="Times New Roman" w:hAnsi="Times New Roman" w:eastAsia="仿宋_GB2312" w:cs="宋体"/>
          <w:bCs/>
          <w:kern w:val="0"/>
          <w:sz w:val="32"/>
          <w:szCs w:val="32"/>
        </w:rPr>
        <w:t>；</w:t>
      </w:r>
    </w:p>
    <w:p>
      <w:pPr>
        <w:spacing w:line="560" w:lineRule="exact"/>
        <w:ind w:firstLine="622" w:firstLineChars="200"/>
        <w:jc w:val="left"/>
        <w:rPr>
          <w:rFonts w:ascii="Times New Roman" w:hAnsi="Times New Roman" w:eastAsia="仿宋_GB2312" w:cs="宋体"/>
          <w:bCs/>
          <w:kern w:val="0"/>
          <w:sz w:val="32"/>
          <w:szCs w:val="32"/>
        </w:rPr>
      </w:pPr>
      <w:r>
        <w:rPr>
          <w:rFonts w:ascii="Times New Roman" w:hAnsi="Times New Roman" w:eastAsia="仿宋_GB2312" w:cs="宋体"/>
          <w:bCs/>
          <w:kern w:val="0"/>
          <w:sz w:val="32"/>
          <w:szCs w:val="32"/>
        </w:rPr>
        <w:pict>
          <v:shape id="SecSignControl1" o:spid="_x0000_s1032" o:spt="201" alt="" type="#_x0000_t201" style="position:absolute;left:0pt;margin-left:336pt;margin-top:536.25pt;height:116.25pt;width:116.25pt;mso-position-horizontal-relative:page;mso-position-vertical-relative:page;z-index:-251654144;mso-width-relative:page;mso-height-relative:page;" o:ole="t" filled="f" o:preferrelative="t" stroked="f" coordsize="21600,21600">
            <v:path/>
            <v:fill on="f" focussize="0,0"/>
            <v:stroke on="f"/>
            <v:imagedata r:id="rId7" o:title=""/>
            <o:lock v:ext="edit" aspectratio="f"/>
          </v:shape>
          <w:control r:id="rId6" w:name="SecSignControl1" w:shapeid="SecSignControl1"/>
        </w:pict>
      </w:r>
      <w:r>
        <w:rPr>
          <w:rFonts w:hint="eastAsia" w:ascii="Times New Roman" w:hAnsi="Times New Roman" w:eastAsia="仿宋_GB2312" w:cs="宋体"/>
          <w:bCs/>
          <w:kern w:val="0"/>
          <w:sz w:val="32"/>
          <w:szCs w:val="32"/>
        </w:rPr>
        <w:t>4.将原第140项“第二类、第三类医疗器械生产企业许可证核发”修订为</w:t>
      </w:r>
      <w:r>
        <w:rPr>
          <w:rFonts w:hint="eastAsia" w:ascii="Times New Roman" w:hAnsi="Times New Roman" w:eastAsia="仿宋_GB2312" w:cs="宋体"/>
          <w:b/>
          <w:bCs/>
          <w:kern w:val="0"/>
          <w:sz w:val="32"/>
          <w:szCs w:val="32"/>
        </w:rPr>
        <w:t>“第二类、第三类医疗器械生产许可”</w:t>
      </w:r>
      <w:r>
        <w:rPr>
          <w:rFonts w:hint="eastAsia" w:ascii="Times New Roman" w:hAnsi="Times New Roman" w:eastAsia="仿宋_GB2312" w:cs="宋体"/>
          <w:bCs/>
          <w:kern w:val="0"/>
          <w:sz w:val="32"/>
          <w:szCs w:val="32"/>
        </w:rPr>
        <w:t>。</w:t>
      </w:r>
    </w:p>
    <w:p>
      <w:pPr>
        <w:spacing w:line="560" w:lineRule="exact"/>
        <w:ind w:firstLine="622" w:firstLineChars="200"/>
        <w:jc w:val="left"/>
        <w:rPr>
          <w:rFonts w:ascii="Times New Roman" w:hAnsi="Times New Roman" w:eastAsia="仿宋_GB2312" w:cs="宋体"/>
          <w:bCs/>
          <w:kern w:val="0"/>
          <w:sz w:val="32"/>
          <w:szCs w:val="32"/>
        </w:rPr>
      </w:pPr>
      <w:r>
        <w:rPr>
          <w:rFonts w:hint="eastAsia" w:ascii="Times New Roman" w:hAnsi="Times New Roman" w:eastAsia="仿宋_GB2312" w:cs="宋体"/>
          <w:bCs/>
          <w:kern w:val="0"/>
          <w:sz w:val="32"/>
          <w:szCs w:val="32"/>
        </w:rPr>
        <w:t>综合以上取消和修订调整情况，省局梳理形成了《辽宁省工商登记后置审批事项目录（2019年4月）》，现印发你们，请遵照执行，并及时做好向社会公示和发布工作。</w:t>
      </w:r>
    </w:p>
    <w:p>
      <w:pPr>
        <w:spacing w:line="560" w:lineRule="exact"/>
        <w:ind w:firstLine="622" w:firstLineChars="200"/>
        <w:rPr>
          <w:rFonts w:ascii="Times New Roman" w:hAnsi="Times New Roman" w:eastAsia="仿宋_GB2312" w:cs="宋体"/>
          <w:bCs/>
          <w:kern w:val="0"/>
          <w:sz w:val="32"/>
          <w:szCs w:val="32"/>
        </w:rPr>
      </w:pPr>
    </w:p>
    <w:p>
      <w:pPr>
        <w:spacing w:line="560" w:lineRule="exact"/>
        <w:ind w:firstLine="622" w:firstLineChars="200"/>
        <w:rPr>
          <w:rFonts w:ascii="Times New Roman" w:hAnsi="Times New Roman" w:eastAsia="仿宋_GB2312" w:cs="宋体"/>
          <w:bCs/>
          <w:kern w:val="0"/>
          <w:sz w:val="32"/>
          <w:szCs w:val="32"/>
        </w:rPr>
      </w:pPr>
      <w:r>
        <w:rPr>
          <w:rFonts w:hint="eastAsia" w:ascii="Times New Roman" w:hAnsi="Times New Roman" w:eastAsia="仿宋_GB2312" w:cs="宋体"/>
          <w:bCs/>
          <w:kern w:val="0"/>
          <w:sz w:val="32"/>
          <w:szCs w:val="32"/>
        </w:rPr>
        <w:t>附件：辽宁省工商登记后置审批事项目录（2019年4月）</w:t>
      </w:r>
    </w:p>
    <w:p>
      <w:pPr>
        <w:spacing w:line="560" w:lineRule="exact"/>
        <w:jc w:val="center"/>
        <w:rPr>
          <w:rFonts w:ascii="Times New Roman" w:hAnsi="Times New Roman" w:eastAsia="仿宋_GB2312" w:cs="宋体"/>
          <w:bCs/>
          <w:kern w:val="0"/>
          <w:sz w:val="32"/>
          <w:szCs w:val="32"/>
        </w:rPr>
      </w:pPr>
      <w:r>
        <w:rPr>
          <w:rFonts w:hint="eastAsia" w:ascii="Times New Roman" w:hAnsi="Times New Roman" w:eastAsia="仿宋_GB2312" w:cs="宋体"/>
          <w:bCs/>
          <w:kern w:val="0"/>
          <w:sz w:val="32"/>
          <w:szCs w:val="32"/>
        </w:rPr>
        <w:t xml:space="preserve">             </w:t>
      </w:r>
    </w:p>
    <w:p>
      <w:pPr>
        <w:spacing w:line="560" w:lineRule="exact"/>
        <w:jc w:val="center"/>
        <w:rPr>
          <w:rFonts w:ascii="Times New Roman" w:hAnsi="Times New Roman" w:eastAsia="仿宋_GB2312" w:cs="宋体"/>
          <w:bCs/>
          <w:kern w:val="0"/>
          <w:sz w:val="32"/>
          <w:szCs w:val="32"/>
        </w:rPr>
      </w:pPr>
    </w:p>
    <w:p>
      <w:pPr>
        <w:spacing w:line="560" w:lineRule="exact"/>
        <w:ind w:firstLine="4665" w:firstLineChars="1500"/>
        <w:rPr>
          <w:rFonts w:ascii="Times New Roman" w:hAnsi="Times New Roman" w:eastAsia="仿宋_GB2312" w:cs="宋体"/>
          <w:bCs/>
          <w:kern w:val="0"/>
          <w:sz w:val="32"/>
          <w:szCs w:val="32"/>
        </w:rPr>
      </w:pPr>
      <w:r>
        <w:rPr>
          <w:rFonts w:hint="eastAsia" w:ascii="Times New Roman" w:hAnsi="Times New Roman" w:eastAsia="仿宋_GB2312" w:cs="宋体"/>
          <w:bCs/>
          <w:kern w:val="0"/>
          <w:sz w:val="32"/>
          <w:szCs w:val="32"/>
        </w:rPr>
        <w:t>辽宁省市场监督管理局</w:t>
      </w:r>
    </w:p>
    <w:p>
      <w:pPr>
        <w:spacing w:line="560" w:lineRule="exact"/>
        <w:ind w:firstLine="5132" w:firstLineChars="1650"/>
        <w:rPr>
          <w:rFonts w:ascii="Times New Roman" w:hAnsi="Times New Roman" w:eastAsia="仿宋_GB2312" w:cs="宋体"/>
          <w:bCs/>
          <w:kern w:val="0"/>
          <w:sz w:val="32"/>
          <w:szCs w:val="32"/>
        </w:rPr>
      </w:pPr>
      <w:r>
        <w:rPr>
          <w:rFonts w:hint="eastAsia" w:ascii="Times New Roman" w:hAnsi="Times New Roman" w:eastAsia="仿宋_GB2312" w:cs="宋体"/>
          <w:bCs/>
          <w:kern w:val="0"/>
          <w:sz w:val="32"/>
          <w:szCs w:val="32"/>
        </w:rPr>
        <w:t>2019年4月4日</w:t>
      </w:r>
    </w:p>
    <w:p>
      <w:pPr>
        <w:spacing w:line="560" w:lineRule="exact"/>
        <w:ind w:firstLine="645"/>
        <w:rPr>
          <w:rFonts w:ascii="Times New Roman" w:hAnsi="Times New Roman" w:eastAsia="仿宋_GB2312" w:cs="宋体"/>
          <w:bCs/>
          <w:kern w:val="0"/>
          <w:sz w:val="32"/>
          <w:szCs w:val="32"/>
        </w:rPr>
      </w:pPr>
      <w:r>
        <w:rPr>
          <w:rFonts w:hint="eastAsia" w:ascii="Times New Roman" w:hAnsi="Times New Roman" w:eastAsia="仿宋_GB2312" w:cs="宋体"/>
          <w:bCs/>
          <w:kern w:val="0"/>
          <w:sz w:val="32"/>
          <w:szCs w:val="32"/>
        </w:rPr>
        <w:t>（此件公开发布）</w:t>
      </w:r>
    </w:p>
    <w:p>
      <w:pPr>
        <w:spacing w:line="560" w:lineRule="exact"/>
        <w:ind w:firstLine="645"/>
        <w:rPr>
          <w:rFonts w:ascii="Times New Roman" w:hAnsi="Times New Roman" w:eastAsia="仿宋_GB2312" w:cs="宋体"/>
          <w:bCs/>
          <w:kern w:val="0"/>
          <w:sz w:val="32"/>
          <w:szCs w:val="32"/>
        </w:rPr>
      </w:pPr>
    </w:p>
    <w:p>
      <w:pPr>
        <w:spacing w:line="560" w:lineRule="exact"/>
        <w:ind w:firstLine="645"/>
        <w:rPr>
          <w:rFonts w:ascii="Times New Roman" w:hAnsi="Times New Roman" w:eastAsia="仿宋_GB2312" w:cs="宋体"/>
          <w:bCs/>
          <w:kern w:val="0"/>
          <w:sz w:val="32"/>
          <w:szCs w:val="32"/>
        </w:rPr>
      </w:pPr>
    </w:p>
    <w:p>
      <w:pPr>
        <w:spacing w:line="600" w:lineRule="exact"/>
        <w:rPr>
          <w:rFonts w:ascii="黑体" w:hAnsi="黑体" w:eastAsia="黑体" w:cs="宋体"/>
          <w:bCs/>
          <w:kern w:val="0"/>
          <w:sz w:val="32"/>
          <w:szCs w:val="32"/>
        </w:rPr>
      </w:pPr>
      <w:r>
        <w:rPr>
          <w:rFonts w:hint="eastAsia" w:ascii="黑体" w:hAnsi="黑体" w:eastAsia="黑体" w:cs="宋体"/>
          <w:bCs/>
          <w:kern w:val="0"/>
          <w:sz w:val="32"/>
          <w:szCs w:val="32"/>
        </w:rPr>
        <w:t>附件</w:t>
      </w:r>
    </w:p>
    <w:p>
      <w:pPr>
        <w:spacing w:line="600" w:lineRule="exact"/>
        <w:rPr>
          <w:rFonts w:ascii="方正小标宋简体" w:hAnsi="宋体" w:eastAsia="方正小标宋简体" w:cs="宋体"/>
          <w:bCs/>
          <w:kern w:val="0"/>
          <w:sz w:val="36"/>
          <w:szCs w:val="36"/>
        </w:rPr>
      </w:pPr>
      <w:r>
        <w:rPr>
          <w:rFonts w:hint="eastAsia" w:ascii="仿宋_GB2312" w:eastAsia="仿宋_GB2312"/>
          <w:sz w:val="30"/>
          <w:szCs w:val="30"/>
        </w:rPr>
        <w:t xml:space="preserve">      </w:t>
      </w:r>
      <w:r>
        <w:rPr>
          <w:rFonts w:hint="eastAsia" w:ascii="方正小标宋简体" w:eastAsia="方正小标宋简体"/>
          <w:sz w:val="30"/>
          <w:szCs w:val="30"/>
        </w:rPr>
        <w:t xml:space="preserve">    </w:t>
      </w:r>
      <w:r>
        <w:rPr>
          <w:rFonts w:hint="eastAsia" w:ascii="方正小标宋简体" w:hAnsi="宋体" w:eastAsia="方正小标宋简体" w:cs="宋体"/>
          <w:bCs/>
          <w:kern w:val="0"/>
          <w:sz w:val="36"/>
          <w:szCs w:val="36"/>
        </w:rPr>
        <w:t>辽宁省工商登记后置审批事项目录</w:t>
      </w:r>
    </w:p>
    <w:p>
      <w:pPr>
        <w:spacing w:line="360" w:lineRule="exact"/>
        <w:jc w:val="center"/>
        <w:rPr>
          <w:rFonts w:ascii="楷体" w:hAnsi="楷体" w:eastAsia="楷体"/>
          <w:sz w:val="28"/>
          <w:szCs w:val="28"/>
        </w:rPr>
      </w:pPr>
      <w:r>
        <w:rPr>
          <w:rFonts w:hint="eastAsia" w:ascii="楷体" w:hAnsi="楷体" w:eastAsia="楷体" w:cs="宋体"/>
          <w:bCs/>
          <w:kern w:val="0"/>
          <w:sz w:val="28"/>
          <w:szCs w:val="28"/>
        </w:rPr>
        <w:t>（2019年4月）</w:t>
      </w:r>
    </w:p>
    <w:tbl>
      <w:tblPr>
        <w:tblStyle w:val="6"/>
        <w:tblW w:w="9808" w:type="dxa"/>
        <w:jc w:val="center"/>
        <w:tblLayout w:type="fixed"/>
        <w:tblCellMar>
          <w:top w:w="0" w:type="dxa"/>
          <w:left w:w="108" w:type="dxa"/>
          <w:bottom w:w="0" w:type="dxa"/>
          <w:right w:w="108" w:type="dxa"/>
        </w:tblCellMar>
      </w:tblPr>
      <w:tblGrid>
        <w:gridCol w:w="756"/>
        <w:gridCol w:w="1116"/>
        <w:gridCol w:w="1673"/>
        <w:gridCol w:w="5002"/>
        <w:gridCol w:w="1261"/>
      </w:tblGrid>
      <w:tr>
        <w:tblPrEx>
          <w:tblCellMar>
            <w:top w:w="0" w:type="dxa"/>
            <w:left w:w="108" w:type="dxa"/>
            <w:bottom w:w="0" w:type="dxa"/>
            <w:right w:w="108" w:type="dxa"/>
          </w:tblCellMar>
        </w:tblPrEx>
        <w:trPr>
          <w:cantSplit/>
          <w:trHeight w:val="360" w:hRule="atLeast"/>
          <w:jc w:val="center"/>
        </w:trPr>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b/>
                <w:bCs/>
                <w:kern w:val="0"/>
                <w:sz w:val="18"/>
                <w:szCs w:val="18"/>
              </w:rPr>
            </w:pPr>
            <w:r>
              <w:rPr>
                <w:rFonts w:hint="eastAsia" w:ascii="宋体" w:hAnsi="宋体" w:eastAsia="宋体" w:cs="宋体"/>
                <w:b/>
                <w:bCs/>
                <w:kern w:val="0"/>
                <w:sz w:val="18"/>
                <w:szCs w:val="18"/>
              </w:rPr>
              <w:t>序号</w:t>
            </w:r>
          </w:p>
        </w:tc>
        <w:tc>
          <w:tcPr>
            <w:tcW w:w="1116"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b/>
                <w:bCs/>
                <w:kern w:val="0"/>
                <w:sz w:val="18"/>
                <w:szCs w:val="18"/>
              </w:rPr>
            </w:pPr>
            <w:r>
              <w:rPr>
                <w:rFonts w:hint="eastAsia" w:ascii="宋体" w:hAnsi="宋体" w:eastAsia="宋体" w:cs="宋体"/>
                <w:b/>
                <w:bCs/>
                <w:kern w:val="0"/>
                <w:sz w:val="18"/>
                <w:szCs w:val="18"/>
              </w:rPr>
              <w:t>项目名称</w:t>
            </w:r>
          </w:p>
        </w:tc>
        <w:tc>
          <w:tcPr>
            <w:tcW w:w="167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b/>
                <w:bCs/>
                <w:kern w:val="0"/>
                <w:sz w:val="18"/>
                <w:szCs w:val="18"/>
              </w:rPr>
            </w:pPr>
            <w:r>
              <w:rPr>
                <w:rFonts w:hint="eastAsia" w:ascii="宋体" w:hAnsi="宋体" w:eastAsia="宋体" w:cs="宋体"/>
                <w:b/>
                <w:bCs/>
                <w:kern w:val="0"/>
                <w:sz w:val="18"/>
                <w:szCs w:val="18"/>
              </w:rPr>
              <w:t>实施机关</w:t>
            </w:r>
          </w:p>
        </w:tc>
        <w:tc>
          <w:tcPr>
            <w:tcW w:w="5002"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b/>
                <w:bCs/>
                <w:kern w:val="0"/>
                <w:sz w:val="18"/>
                <w:szCs w:val="18"/>
              </w:rPr>
            </w:pPr>
            <w:r>
              <w:rPr>
                <w:rFonts w:hint="eastAsia" w:ascii="宋体" w:hAnsi="宋体" w:eastAsia="宋体" w:cs="宋体"/>
                <w:b/>
                <w:bCs/>
                <w:kern w:val="0"/>
                <w:sz w:val="18"/>
                <w:szCs w:val="18"/>
              </w:rPr>
              <w:t xml:space="preserve">设定依据                                                                                       </w:t>
            </w:r>
          </w:p>
        </w:tc>
        <w:tc>
          <w:tcPr>
            <w:tcW w:w="1261"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b/>
                <w:bCs/>
                <w:kern w:val="0"/>
                <w:sz w:val="18"/>
                <w:szCs w:val="18"/>
              </w:rPr>
            </w:pPr>
            <w:r>
              <w:rPr>
                <w:rFonts w:hint="eastAsia" w:ascii="宋体" w:hAnsi="宋体" w:eastAsia="宋体" w:cs="宋体"/>
                <w:b/>
                <w:bCs/>
                <w:kern w:val="0"/>
                <w:sz w:val="18"/>
                <w:szCs w:val="18"/>
              </w:rPr>
              <w:t>检索关键词</w:t>
            </w:r>
          </w:p>
        </w:tc>
      </w:tr>
      <w:tr>
        <w:tblPrEx>
          <w:tblCellMar>
            <w:top w:w="0" w:type="dxa"/>
            <w:left w:w="108" w:type="dxa"/>
            <w:bottom w:w="0" w:type="dxa"/>
            <w:right w:w="108" w:type="dxa"/>
          </w:tblCellMar>
        </w:tblPrEx>
        <w:trPr>
          <w:cantSplit/>
          <w:trHeight w:val="893" w:hRule="atLeast"/>
          <w:jc w:val="center"/>
        </w:trPr>
        <w:tc>
          <w:tcPr>
            <w:tcW w:w="756"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1116"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涉密信息系统集成单位资质认定</w:t>
            </w:r>
          </w:p>
        </w:tc>
        <w:tc>
          <w:tcPr>
            <w:tcW w:w="1673"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省国家保密局</w:t>
            </w:r>
          </w:p>
        </w:tc>
        <w:tc>
          <w:tcPr>
            <w:tcW w:w="5002"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《保守国家秘密法》</w:t>
            </w:r>
          </w:p>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《保守国家秘密法实施条例》（国务院令第646号）</w:t>
            </w:r>
          </w:p>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《涉密信息系统集成资质管理办法》（国保发〔2013〕7号）</w:t>
            </w:r>
          </w:p>
        </w:tc>
        <w:tc>
          <w:tcPr>
            <w:tcW w:w="1261" w:type="dxa"/>
            <w:tcBorders>
              <w:top w:val="nil"/>
              <w:left w:val="nil"/>
              <w:bottom w:val="single" w:color="auto" w:sz="4" w:space="0"/>
              <w:right w:val="single" w:color="auto" w:sz="4" w:space="0"/>
            </w:tcBorders>
            <w:shd w:val="clear" w:color="000000" w:fill="FFFFFF"/>
            <w:vAlign w:val="center"/>
          </w:tcPr>
          <w:p>
            <w:pPr>
              <w:spacing w:line="240" w:lineRule="exact"/>
              <w:rPr>
                <w:rFonts w:ascii="宋体" w:hAnsi="宋体" w:eastAsia="宋体" w:cs="宋体"/>
                <w:sz w:val="18"/>
                <w:szCs w:val="18"/>
              </w:rPr>
            </w:pPr>
            <w:r>
              <w:rPr>
                <w:rFonts w:hint="eastAsia"/>
                <w:sz w:val="18"/>
                <w:szCs w:val="18"/>
              </w:rPr>
              <w:t>涉密信息系统集成</w:t>
            </w:r>
          </w:p>
        </w:tc>
      </w:tr>
      <w:tr>
        <w:tblPrEx>
          <w:tblCellMar>
            <w:top w:w="0" w:type="dxa"/>
            <w:left w:w="108" w:type="dxa"/>
            <w:bottom w:w="0" w:type="dxa"/>
            <w:right w:w="108" w:type="dxa"/>
          </w:tblCellMar>
        </w:tblPrEx>
        <w:trPr>
          <w:cantSplit/>
          <w:trHeight w:val="1277" w:hRule="atLeast"/>
          <w:jc w:val="center"/>
        </w:trPr>
        <w:tc>
          <w:tcPr>
            <w:tcW w:w="756"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1116"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制作、复制、维修、销毁国家秘密载体定点单位资质认定</w:t>
            </w:r>
          </w:p>
        </w:tc>
        <w:tc>
          <w:tcPr>
            <w:tcW w:w="1673"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省国家保密局</w:t>
            </w:r>
          </w:p>
        </w:tc>
        <w:tc>
          <w:tcPr>
            <w:tcW w:w="5002"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《保守国家秘密法》</w:t>
            </w:r>
          </w:p>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《保守国家秘密法实施条例》（国务院令第646号）</w:t>
            </w:r>
          </w:p>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《国家秘密载体印制资质管理办法》（国保发〔2012〕7号）</w:t>
            </w:r>
          </w:p>
        </w:tc>
        <w:tc>
          <w:tcPr>
            <w:tcW w:w="1261" w:type="dxa"/>
            <w:tcBorders>
              <w:top w:val="nil"/>
              <w:left w:val="nil"/>
              <w:bottom w:val="single" w:color="auto" w:sz="4" w:space="0"/>
              <w:right w:val="single" w:color="auto" w:sz="4" w:space="0"/>
            </w:tcBorders>
            <w:shd w:val="clear" w:color="000000" w:fill="FFFFFF"/>
            <w:vAlign w:val="center"/>
          </w:tcPr>
          <w:p>
            <w:pPr>
              <w:spacing w:line="240" w:lineRule="exact"/>
              <w:rPr>
                <w:rFonts w:ascii="宋体" w:hAnsi="宋体" w:eastAsia="宋体" w:cs="宋体"/>
                <w:sz w:val="18"/>
                <w:szCs w:val="18"/>
              </w:rPr>
            </w:pPr>
            <w:r>
              <w:rPr>
                <w:rFonts w:hint="eastAsia"/>
                <w:sz w:val="18"/>
                <w:szCs w:val="18"/>
              </w:rPr>
              <w:t>国家秘密载体</w:t>
            </w:r>
          </w:p>
        </w:tc>
      </w:tr>
      <w:tr>
        <w:tblPrEx>
          <w:tblCellMar>
            <w:top w:w="0" w:type="dxa"/>
            <w:left w:w="108" w:type="dxa"/>
            <w:bottom w:w="0" w:type="dxa"/>
            <w:right w:w="108" w:type="dxa"/>
          </w:tblCellMar>
        </w:tblPrEx>
        <w:trPr>
          <w:cantSplit/>
          <w:trHeight w:val="1067" w:hRule="atLeast"/>
          <w:jc w:val="center"/>
        </w:trPr>
        <w:tc>
          <w:tcPr>
            <w:tcW w:w="756"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1116"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武器装备科研生产单位保密资格认定</w:t>
            </w:r>
          </w:p>
        </w:tc>
        <w:tc>
          <w:tcPr>
            <w:tcW w:w="1673"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省国家保密局</w:t>
            </w:r>
          </w:p>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省国防科工办</w:t>
            </w:r>
          </w:p>
        </w:tc>
        <w:tc>
          <w:tcPr>
            <w:tcW w:w="5002"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《保守国家秘密法》</w:t>
            </w:r>
          </w:p>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《保守国家秘密法实施条例》（国务院令第646号）</w:t>
            </w:r>
          </w:p>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《武器装备科研生产单位保密资格认定办法》（国保发〔2016〕15号）</w:t>
            </w:r>
          </w:p>
        </w:tc>
        <w:tc>
          <w:tcPr>
            <w:tcW w:w="1261" w:type="dxa"/>
            <w:tcBorders>
              <w:top w:val="nil"/>
              <w:left w:val="nil"/>
              <w:bottom w:val="single" w:color="auto" w:sz="4" w:space="0"/>
              <w:right w:val="single" w:color="auto" w:sz="4" w:space="0"/>
            </w:tcBorders>
            <w:shd w:val="clear" w:color="000000" w:fill="FFFFFF"/>
            <w:vAlign w:val="center"/>
          </w:tcPr>
          <w:p>
            <w:pPr>
              <w:spacing w:line="240" w:lineRule="exact"/>
              <w:rPr>
                <w:rFonts w:ascii="宋体" w:hAnsi="宋体" w:eastAsia="宋体" w:cs="宋体"/>
                <w:sz w:val="18"/>
                <w:szCs w:val="18"/>
              </w:rPr>
            </w:pPr>
            <w:r>
              <w:rPr>
                <w:rFonts w:hint="eastAsia"/>
                <w:sz w:val="18"/>
                <w:szCs w:val="18"/>
              </w:rPr>
              <w:t>武器装备科研生产</w:t>
            </w:r>
          </w:p>
        </w:tc>
      </w:tr>
      <w:tr>
        <w:tblPrEx>
          <w:tblCellMar>
            <w:top w:w="0" w:type="dxa"/>
            <w:left w:w="108" w:type="dxa"/>
            <w:bottom w:w="0" w:type="dxa"/>
            <w:right w:w="108" w:type="dxa"/>
          </w:tblCellMar>
        </w:tblPrEx>
        <w:trPr>
          <w:cantSplit/>
          <w:trHeight w:val="605" w:hRule="atLeast"/>
          <w:jc w:val="center"/>
        </w:trPr>
        <w:tc>
          <w:tcPr>
            <w:tcW w:w="756"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1116"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电子认证服务许可</w:t>
            </w:r>
          </w:p>
        </w:tc>
        <w:tc>
          <w:tcPr>
            <w:tcW w:w="1673"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工业和信息化部</w:t>
            </w:r>
          </w:p>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国家密码管理局</w:t>
            </w:r>
          </w:p>
        </w:tc>
        <w:tc>
          <w:tcPr>
            <w:tcW w:w="5002"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《电子签名法》</w:t>
            </w:r>
          </w:p>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《电子认证服务密码管理办法》（国家密码管理局公告第17号）</w:t>
            </w:r>
          </w:p>
        </w:tc>
        <w:tc>
          <w:tcPr>
            <w:tcW w:w="1261" w:type="dxa"/>
            <w:tcBorders>
              <w:top w:val="nil"/>
              <w:left w:val="nil"/>
              <w:bottom w:val="single" w:color="auto" w:sz="4" w:space="0"/>
              <w:right w:val="single" w:color="auto" w:sz="4" w:space="0"/>
            </w:tcBorders>
            <w:shd w:val="clear" w:color="000000" w:fill="FFFFFF"/>
            <w:vAlign w:val="center"/>
          </w:tcPr>
          <w:p>
            <w:pPr>
              <w:spacing w:line="240" w:lineRule="exact"/>
              <w:rPr>
                <w:rFonts w:ascii="宋体" w:hAnsi="宋体" w:eastAsia="宋体" w:cs="宋体"/>
                <w:sz w:val="18"/>
                <w:szCs w:val="18"/>
              </w:rPr>
            </w:pPr>
            <w:r>
              <w:rPr>
                <w:rFonts w:hint="eastAsia"/>
                <w:sz w:val="18"/>
                <w:szCs w:val="18"/>
              </w:rPr>
              <w:t>电子认证</w:t>
            </w:r>
          </w:p>
        </w:tc>
      </w:tr>
      <w:tr>
        <w:tblPrEx>
          <w:tblCellMar>
            <w:top w:w="0" w:type="dxa"/>
            <w:left w:w="108" w:type="dxa"/>
            <w:bottom w:w="0" w:type="dxa"/>
            <w:right w:w="108" w:type="dxa"/>
          </w:tblCellMar>
        </w:tblPrEx>
        <w:trPr>
          <w:cantSplit/>
          <w:trHeight w:val="754" w:hRule="atLeast"/>
          <w:jc w:val="center"/>
        </w:trPr>
        <w:tc>
          <w:tcPr>
            <w:tcW w:w="756"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1116"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监控化学品生产特别许可</w:t>
            </w:r>
          </w:p>
        </w:tc>
        <w:tc>
          <w:tcPr>
            <w:tcW w:w="1673"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工业和信息化部</w:t>
            </w:r>
          </w:p>
        </w:tc>
        <w:tc>
          <w:tcPr>
            <w:tcW w:w="5002"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《监控化学品管理条例》(国务院令第190号）</w:t>
            </w:r>
          </w:p>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《监控化学品管理条例实施细则》（工信部信令第48号）</w:t>
            </w:r>
          </w:p>
        </w:tc>
        <w:tc>
          <w:tcPr>
            <w:tcW w:w="1261" w:type="dxa"/>
            <w:tcBorders>
              <w:top w:val="nil"/>
              <w:left w:val="nil"/>
              <w:bottom w:val="single" w:color="auto" w:sz="4" w:space="0"/>
              <w:right w:val="single" w:color="auto" w:sz="4" w:space="0"/>
            </w:tcBorders>
            <w:shd w:val="clear" w:color="000000" w:fill="FFFFFF"/>
            <w:vAlign w:val="center"/>
          </w:tcPr>
          <w:p>
            <w:pPr>
              <w:spacing w:line="240" w:lineRule="exact"/>
              <w:rPr>
                <w:rFonts w:ascii="宋体" w:hAnsi="宋体" w:eastAsia="宋体" w:cs="宋体"/>
                <w:sz w:val="18"/>
                <w:szCs w:val="18"/>
              </w:rPr>
            </w:pPr>
            <w:r>
              <w:rPr>
                <w:rFonts w:hint="eastAsia"/>
                <w:sz w:val="18"/>
                <w:szCs w:val="18"/>
              </w:rPr>
              <w:t>化学品</w:t>
            </w:r>
          </w:p>
        </w:tc>
      </w:tr>
      <w:tr>
        <w:tblPrEx>
          <w:tblCellMar>
            <w:top w:w="0" w:type="dxa"/>
            <w:left w:w="108" w:type="dxa"/>
            <w:bottom w:w="0" w:type="dxa"/>
            <w:right w:w="108" w:type="dxa"/>
          </w:tblCellMar>
        </w:tblPrEx>
        <w:trPr>
          <w:cantSplit/>
          <w:trHeight w:val="832" w:hRule="atLeast"/>
          <w:jc w:val="center"/>
        </w:trPr>
        <w:tc>
          <w:tcPr>
            <w:tcW w:w="756"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6</w:t>
            </w:r>
          </w:p>
        </w:tc>
        <w:tc>
          <w:tcPr>
            <w:tcW w:w="1116"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道路机动车辆生产企业及产品公告</w:t>
            </w:r>
          </w:p>
        </w:tc>
        <w:tc>
          <w:tcPr>
            <w:tcW w:w="1673"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工业和信息化部</w:t>
            </w:r>
          </w:p>
        </w:tc>
        <w:tc>
          <w:tcPr>
            <w:tcW w:w="5002"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《道路交通安全法》</w:t>
            </w:r>
          </w:p>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《国务院对确需保留的行政审批项目设定行政许可的决定》（国务院令第412号）</w:t>
            </w:r>
          </w:p>
        </w:tc>
        <w:tc>
          <w:tcPr>
            <w:tcW w:w="1261" w:type="dxa"/>
            <w:tcBorders>
              <w:top w:val="nil"/>
              <w:left w:val="nil"/>
              <w:bottom w:val="single" w:color="auto" w:sz="4" w:space="0"/>
              <w:right w:val="single" w:color="auto" w:sz="4" w:space="0"/>
            </w:tcBorders>
            <w:shd w:val="clear" w:color="000000" w:fill="FFFFFF"/>
            <w:vAlign w:val="center"/>
          </w:tcPr>
          <w:p>
            <w:pPr>
              <w:spacing w:line="240" w:lineRule="exact"/>
              <w:rPr>
                <w:rFonts w:ascii="宋体" w:hAnsi="宋体" w:eastAsia="宋体" w:cs="宋体"/>
                <w:sz w:val="18"/>
                <w:szCs w:val="18"/>
              </w:rPr>
            </w:pPr>
            <w:r>
              <w:rPr>
                <w:rFonts w:hint="eastAsia"/>
                <w:sz w:val="18"/>
                <w:szCs w:val="18"/>
              </w:rPr>
              <w:t>机动车</w:t>
            </w:r>
          </w:p>
        </w:tc>
      </w:tr>
      <w:tr>
        <w:tblPrEx>
          <w:tblCellMar>
            <w:top w:w="0" w:type="dxa"/>
            <w:left w:w="108" w:type="dxa"/>
            <w:bottom w:w="0" w:type="dxa"/>
            <w:right w:w="108" w:type="dxa"/>
          </w:tblCellMar>
        </w:tblPrEx>
        <w:trPr>
          <w:cantSplit/>
          <w:trHeight w:val="986" w:hRule="atLeast"/>
          <w:jc w:val="center"/>
        </w:trPr>
        <w:tc>
          <w:tcPr>
            <w:tcW w:w="756"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7</w:t>
            </w:r>
          </w:p>
        </w:tc>
        <w:tc>
          <w:tcPr>
            <w:tcW w:w="1116"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税控收款机生产企业资质认定</w:t>
            </w:r>
          </w:p>
        </w:tc>
        <w:tc>
          <w:tcPr>
            <w:tcW w:w="1673"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工业和信息化部</w:t>
            </w:r>
          </w:p>
        </w:tc>
        <w:tc>
          <w:tcPr>
            <w:tcW w:w="5002"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《国务院对确需保留的行政审批项目设定行政许可的决定》（国务院令第412号）</w:t>
            </w:r>
          </w:p>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《税控收款机生产企业资质管理办法》(工业和信息化部令第8号)</w:t>
            </w:r>
          </w:p>
        </w:tc>
        <w:tc>
          <w:tcPr>
            <w:tcW w:w="1261" w:type="dxa"/>
            <w:tcBorders>
              <w:top w:val="nil"/>
              <w:left w:val="nil"/>
              <w:bottom w:val="single" w:color="auto" w:sz="4" w:space="0"/>
              <w:right w:val="single" w:color="auto" w:sz="4" w:space="0"/>
            </w:tcBorders>
            <w:shd w:val="clear" w:color="000000" w:fill="FFFFFF"/>
            <w:vAlign w:val="center"/>
          </w:tcPr>
          <w:p>
            <w:pPr>
              <w:spacing w:line="240" w:lineRule="exact"/>
              <w:rPr>
                <w:rFonts w:ascii="宋体" w:hAnsi="宋体" w:eastAsia="宋体" w:cs="宋体"/>
                <w:sz w:val="18"/>
                <w:szCs w:val="18"/>
              </w:rPr>
            </w:pPr>
            <w:r>
              <w:rPr>
                <w:rFonts w:hint="eastAsia"/>
                <w:sz w:val="18"/>
                <w:szCs w:val="18"/>
              </w:rPr>
              <w:t>税控收款机</w:t>
            </w:r>
          </w:p>
        </w:tc>
      </w:tr>
      <w:tr>
        <w:tblPrEx>
          <w:tblCellMar>
            <w:top w:w="0" w:type="dxa"/>
            <w:left w:w="108" w:type="dxa"/>
            <w:bottom w:w="0" w:type="dxa"/>
            <w:right w:w="108" w:type="dxa"/>
          </w:tblCellMar>
        </w:tblPrEx>
        <w:trPr>
          <w:cantSplit/>
          <w:trHeight w:val="902" w:hRule="atLeast"/>
          <w:jc w:val="center"/>
        </w:trPr>
        <w:tc>
          <w:tcPr>
            <w:tcW w:w="756"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8</w:t>
            </w:r>
          </w:p>
        </w:tc>
        <w:tc>
          <w:tcPr>
            <w:tcW w:w="1116"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废旧电力设施器材收购许可</w:t>
            </w:r>
          </w:p>
        </w:tc>
        <w:tc>
          <w:tcPr>
            <w:tcW w:w="1673"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设区市工业和信息化部门</w:t>
            </w:r>
          </w:p>
        </w:tc>
        <w:tc>
          <w:tcPr>
            <w:tcW w:w="5002"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《电力设施保护条例》（国务院令第239号）</w:t>
            </w:r>
          </w:p>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《辽宁省人民政府关于取消和调整一批行政职权事项的决定》（辽政发〔2015〕21号）</w:t>
            </w:r>
          </w:p>
        </w:tc>
        <w:tc>
          <w:tcPr>
            <w:tcW w:w="1261" w:type="dxa"/>
            <w:tcBorders>
              <w:top w:val="nil"/>
              <w:left w:val="nil"/>
              <w:bottom w:val="single" w:color="auto" w:sz="4" w:space="0"/>
              <w:right w:val="single" w:color="auto" w:sz="4" w:space="0"/>
            </w:tcBorders>
            <w:shd w:val="clear" w:color="000000" w:fill="FFFFFF"/>
            <w:vAlign w:val="center"/>
          </w:tcPr>
          <w:p>
            <w:pPr>
              <w:spacing w:line="240" w:lineRule="exact"/>
              <w:rPr>
                <w:rFonts w:ascii="宋体" w:hAnsi="宋体" w:eastAsia="宋体" w:cs="宋体"/>
                <w:sz w:val="18"/>
                <w:szCs w:val="18"/>
              </w:rPr>
            </w:pPr>
            <w:r>
              <w:rPr>
                <w:rFonts w:hint="eastAsia"/>
                <w:sz w:val="18"/>
                <w:szCs w:val="18"/>
              </w:rPr>
              <w:t>废旧电力设施器材</w:t>
            </w:r>
          </w:p>
        </w:tc>
      </w:tr>
      <w:tr>
        <w:tblPrEx>
          <w:tblCellMar>
            <w:top w:w="0" w:type="dxa"/>
            <w:left w:w="108" w:type="dxa"/>
            <w:bottom w:w="0" w:type="dxa"/>
            <w:right w:w="108" w:type="dxa"/>
          </w:tblCellMar>
        </w:tblPrEx>
        <w:trPr>
          <w:cantSplit/>
          <w:trHeight w:val="1298" w:hRule="atLeast"/>
          <w:jc w:val="center"/>
        </w:trPr>
        <w:tc>
          <w:tcPr>
            <w:tcW w:w="756"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9</w:t>
            </w:r>
          </w:p>
        </w:tc>
        <w:tc>
          <w:tcPr>
            <w:tcW w:w="1116"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食盐生产许可证核发</w:t>
            </w:r>
          </w:p>
        </w:tc>
        <w:tc>
          <w:tcPr>
            <w:tcW w:w="1673"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省工业和信息化厅</w:t>
            </w:r>
          </w:p>
        </w:tc>
        <w:tc>
          <w:tcPr>
            <w:tcW w:w="5002"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《食盐专营办法》（国务院令第197号）</w:t>
            </w:r>
          </w:p>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《食盐加碘消除碘缺乏危害管理条例》（国务院令第163号）</w:t>
            </w:r>
          </w:p>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《国务院关于取消和下放一批行政审批项目的决定》（国发〔2013〕44号）</w:t>
            </w:r>
          </w:p>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《辽宁省盐业管理条例》</w:t>
            </w:r>
          </w:p>
        </w:tc>
        <w:tc>
          <w:tcPr>
            <w:tcW w:w="1261" w:type="dxa"/>
            <w:tcBorders>
              <w:top w:val="nil"/>
              <w:left w:val="nil"/>
              <w:bottom w:val="single" w:color="auto" w:sz="4" w:space="0"/>
              <w:right w:val="single" w:color="auto" w:sz="4" w:space="0"/>
            </w:tcBorders>
            <w:shd w:val="clear" w:color="000000" w:fill="FFFFFF"/>
            <w:vAlign w:val="center"/>
          </w:tcPr>
          <w:p>
            <w:pPr>
              <w:spacing w:line="240" w:lineRule="exact"/>
              <w:rPr>
                <w:rFonts w:ascii="宋体" w:hAnsi="宋体" w:eastAsia="宋体" w:cs="宋体"/>
                <w:sz w:val="18"/>
                <w:szCs w:val="18"/>
              </w:rPr>
            </w:pPr>
            <w:r>
              <w:rPr>
                <w:rFonts w:hint="eastAsia"/>
                <w:sz w:val="18"/>
                <w:szCs w:val="18"/>
              </w:rPr>
              <w:t>食盐生产</w:t>
            </w:r>
          </w:p>
        </w:tc>
      </w:tr>
      <w:tr>
        <w:tblPrEx>
          <w:tblCellMar>
            <w:top w:w="0" w:type="dxa"/>
            <w:left w:w="108" w:type="dxa"/>
            <w:bottom w:w="0" w:type="dxa"/>
            <w:right w:w="108" w:type="dxa"/>
          </w:tblCellMar>
        </w:tblPrEx>
        <w:trPr>
          <w:cantSplit/>
          <w:trHeight w:val="567" w:hRule="atLeast"/>
          <w:jc w:val="center"/>
        </w:trPr>
        <w:tc>
          <w:tcPr>
            <w:tcW w:w="756"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116"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食盐批发许可证核发</w:t>
            </w:r>
          </w:p>
        </w:tc>
        <w:tc>
          <w:tcPr>
            <w:tcW w:w="1673"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省工业和信息化厅</w:t>
            </w:r>
          </w:p>
        </w:tc>
        <w:tc>
          <w:tcPr>
            <w:tcW w:w="5002"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《食盐专营办法》（国务院令第197号）</w:t>
            </w:r>
          </w:p>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《辽宁省盐业管理条例》</w:t>
            </w:r>
          </w:p>
        </w:tc>
        <w:tc>
          <w:tcPr>
            <w:tcW w:w="1261" w:type="dxa"/>
            <w:tcBorders>
              <w:top w:val="nil"/>
              <w:left w:val="nil"/>
              <w:bottom w:val="single" w:color="auto" w:sz="4" w:space="0"/>
              <w:right w:val="single" w:color="auto" w:sz="4" w:space="0"/>
            </w:tcBorders>
            <w:shd w:val="clear" w:color="000000" w:fill="FFFFFF"/>
            <w:vAlign w:val="center"/>
          </w:tcPr>
          <w:p>
            <w:pPr>
              <w:spacing w:line="240" w:lineRule="exact"/>
              <w:rPr>
                <w:rFonts w:ascii="宋体" w:hAnsi="宋体" w:eastAsia="宋体" w:cs="宋体"/>
                <w:sz w:val="18"/>
                <w:szCs w:val="18"/>
              </w:rPr>
            </w:pPr>
            <w:r>
              <w:rPr>
                <w:rFonts w:hint="eastAsia"/>
                <w:sz w:val="18"/>
                <w:szCs w:val="18"/>
              </w:rPr>
              <w:t>食盐批发</w:t>
            </w:r>
          </w:p>
        </w:tc>
      </w:tr>
      <w:tr>
        <w:tblPrEx>
          <w:tblCellMar>
            <w:top w:w="0" w:type="dxa"/>
            <w:left w:w="108" w:type="dxa"/>
            <w:bottom w:w="0" w:type="dxa"/>
            <w:right w:w="108" w:type="dxa"/>
          </w:tblCellMar>
        </w:tblPrEx>
        <w:trPr>
          <w:cantSplit/>
          <w:trHeight w:val="718" w:hRule="atLeast"/>
          <w:jc w:val="center"/>
        </w:trPr>
        <w:tc>
          <w:tcPr>
            <w:tcW w:w="756"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11</w:t>
            </w:r>
          </w:p>
        </w:tc>
        <w:tc>
          <w:tcPr>
            <w:tcW w:w="1116"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烟草专卖零售许可证核发</w:t>
            </w:r>
          </w:p>
        </w:tc>
        <w:tc>
          <w:tcPr>
            <w:tcW w:w="1673"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设区市、县（市、区）烟草专卖部门</w:t>
            </w:r>
          </w:p>
        </w:tc>
        <w:tc>
          <w:tcPr>
            <w:tcW w:w="5002"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《烟草专卖法》</w:t>
            </w:r>
          </w:p>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《烟草专卖法实施条例》（国务院令第223号）</w:t>
            </w:r>
          </w:p>
        </w:tc>
        <w:tc>
          <w:tcPr>
            <w:tcW w:w="1261" w:type="dxa"/>
            <w:tcBorders>
              <w:top w:val="nil"/>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sz w:val="18"/>
                <w:szCs w:val="18"/>
              </w:rPr>
            </w:pPr>
            <w:r>
              <w:rPr>
                <w:rFonts w:hint="eastAsia"/>
                <w:sz w:val="18"/>
                <w:szCs w:val="18"/>
              </w:rPr>
              <w:t>烟草专卖、烟草零售</w:t>
            </w:r>
          </w:p>
        </w:tc>
      </w:tr>
      <w:tr>
        <w:tblPrEx>
          <w:tblCellMar>
            <w:top w:w="0" w:type="dxa"/>
            <w:left w:w="108" w:type="dxa"/>
            <w:bottom w:w="0" w:type="dxa"/>
            <w:right w:w="108" w:type="dxa"/>
          </w:tblCellMar>
        </w:tblPrEx>
        <w:trPr>
          <w:cantSplit/>
          <w:trHeight w:val="408" w:hRule="atLeast"/>
          <w:jc w:val="center"/>
        </w:trPr>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jc w:val="center"/>
            </w:pPr>
            <w:r>
              <w:br w:type="page"/>
            </w:r>
            <w:r>
              <w:rPr>
                <w:rFonts w:hint="eastAsia"/>
              </w:rPr>
              <w:t>序号</w:t>
            </w:r>
          </w:p>
        </w:tc>
        <w:tc>
          <w:tcPr>
            <w:tcW w:w="1116"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b/>
                <w:bCs/>
                <w:kern w:val="0"/>
                <w:sz w:val="18"/>
                <w:szCs w:val="18"/>
              </w:rPr>
            </w:pPr>
            <w:r>
              <w:rPr>
                <w:rFonts w:hint="eastAsia" w:ascii="宋体" w:hAnsi="宋体" w:eastAsia="宋体" w:cs="宋体"/>
                <w:b/>
                <w:bCs/>
                <w:kern w:val="0"/>
                <w:sz w:val="18"/>
                <w:szCs w:val="18"/>
              </w:rPr>
              <w:t>项目名称</w:t>
            </w:r>
          </w:p>
        </w:tc>
        <w:tc>
          <w:tcPr>
            <w:tcW w:w="1673"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b/>
                <w:bCs/>
                <w:kern w:val="0"/>
                <w:sz w:val="18"/>
                <w:szCs w:val="18"/>
              </w:rPr>
            </w:pPr>
            <w:r>
              <w:rPr>
                <w:rFonts w:hint="eastAsia" w:ascii="宋体" w:hAnsi="宋体" w:eastAsia="宋体" w:cs="宋体"/>
                <w:b/>
                <w:bCs/>
                <w:kern w:val="0"/>
                <w:sz w:val="18"/>
                <w:szCs w:val="18"/>
              </w:rPr>
              <w:t>实施机关</w:t>
            </w:r>
          </w:p>
        </w:tc>
        <w:tc>
          <w:tcPr>
            <w:tcW w:w="5002"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b/>
                <w:bCs/>
                <w:kern w:val="0"/>
                <w:sz w:val="18"/>
                <w:szCs w:val="18"/>
              </w:rPr>
            </w:pPr>
            <w:r>
              <w:rPr>
                <w:rFonts w:hint="eastAsia" w:ascii="宋体" w:hAnsi="宋体" w:eastAsia="宋体" w:cs="宋体"/>
                <w:b/>
                <w:bCs/>
                <w:kern w:val="0"/>
                <w:sz w:val="18"/>
                <w:szCs w:val="18"/>
              </w:rPr>
              <w:t xml:space="preserve">设定依据                                                                                         </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b/>
                <w:bCs/>
                <w:kern w:val="0"/>
                <w:sz w:val="18"/>
                <w:szCs w:val="18"/>
              </w:rPr>
            </w:pPr>
            <w:r>
              <w:rPr>
                <w:rFonts w:hint="eastAsia" w:ascii="宋体" w:hAnsi="宋体" w:eastAsia="宋体" w:cs="宋体"/>
                <w:b/>
                <w:bCs/>
                <w:kern w:val="0"/>
                <w:sz w:val="18"/>
                <w:szCs w:val="18"/>
              </w:rPr>
              <w:t>检索关键词</w:t>
            </w:r>
          </w:p>
        </w:tc>
      </w:tr>
      <w:tr>
        <w:tblPrEx>
          <w:tblCellMar>
            <w:top w:w="0" w:type="dxa"/>
            <w:left w:w="108" w:type="dxa"/>
            <w:bottom w:w="0" w:type="dxa"/>
            <w:right w:w="108" w:type="dxa"/>
          </w:tblCellMar>
        </w:tblPrEx>
        <w:trPr>
          <w:cantSplit/>
          <w:trHeight w:val="558" w:hRule="atLeast"/>
          <w:jc w:val="center"/>
        </w:trPr>
        <w:tc>
          <w:tcPr>
            <w:tcW w:w="756" w:type="dxa"/>
            <w:tcBorders>
              <w:top w:val="nil"/>
              <w:left w:val="single" w:color="auto" w:sz="4" w:space="0"/>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kern w:val="0"/>
                <w:sz w:val="18"/>
                <w:szCs w:val="18"/>
              </w:rPr>
            </w:pPr>
            <w:r>
              <w:rPr>
                <w:rFonts w:hint="eastAsia" w:ascii="宋体" w:hAnsi="宋体" w:eastAsia="宋体" w:cs="宋体"/>
                <w:kern w:val="0"/>
                <w:sz w:val="18"/>
                <w:szCs w:val="18"/>
              </w:rPr>
              <w:t>12</w:t>
            </w:r>
          </w:p>
        </w:tc>
        <w:tc>
          <w:tcPr>
            <w:tcW w:w="1116" w:type="dxa"/>
            <w:tcBorders>
              <w:top w:val="nil"/>
              <w:left w:val="nil"/>
              <w:bottom w:val="single" w:color="auto" w:sz="4" w:space="0"/>
              <w:right w:val="single" w:color="auto" w:sz="4" w:space="0"/>
            </w:tcBorders>
            <w:shd w:val="clear" w:color="000000" w:fill="FFFFFF"/>
            <w:vAlign w:val="center"/>
          </w:tcPr>
          <w:p>
            <w:pPr>
              <w:widowControl/>
              <w:spacing w:line="250" w:lineRule="exact"/>
              <w:jc w:val="left"/>
              <w:rPr>
                <w:rFonts w:ascii="宋体" w:hAnsi="宋体" w:eastAsia="宋体" w:cs="宋体"/>
                <w:kern w:val="0"/>
                <w:sz w:val="18"/>
                <w:szCs w:val="18"/>
              </w:rPr>
            </w:pPr>
            <w:r>
              <w:rPr>
                <w:rFonts w:hint="eastAsia" w:ascii="宋体" w:hAnsi="宋体" w:eastAsia="宋体" w:cs="宋体"/>
                <w:kern w:val="0"/>
                <w:sz w:val="18"/>
                <w:szCs w:val="18"/>
              </w:rPr>
              <w:t>增值电信业务经营许可</w:t>
            </w:r>
          </w:p>
        </w:tc>
        <w:tc>
          <w:tcPr>
            <w:tcW w:w="1673" w:type="dxa"/>
            <w:tcBorders>
              <w:top w:val="nil"/>
              <w:left w:val="nil"/>
              <w:bottom w:val="single" w:color="auto" w:sz="4" w:space="0"/>
              <w:right w:val="single" w:color="auto" w:sz="4" w:space="0"/>
            </w:tcBorders>
            <w:shd w:val="clear" w:color="000000" w:fill="FFFFFF"/>
            <w:vAlign w:val="center"/>
          </w:tcPr>
          <w:p>
            <w:pPr>
              <w:widowControl/>
              <w:spacing w:line="250" w:lineRule="exact"/>
              <w:jc w:val="left"/>
              <w:rPr>
                <w:rFonts w:ascii="宋体" w:hAnsi="宋体" w:eastAsia="宋体" w:cs="宋体"/>
                <w:kern w:val="0"/>
                <w:sz w:val="18"/>
                <w:szCs w:val="18"/>
              </w:rPr>
            </w:pPr>
            <w:r>
              <w:rPr>
                <w:rFonts w:hint="eastAsia" w:ascii="宋体" w:hAnsi="宋体" w:eastAsia="宋体" w:cs="宋体"/>
                <w:kern w:val="0"/>
                <w:sz w:val="18"/>
                <w:szCs w:val="18"/>
              </w:rPr>
              <w:t>省通信管理局</w:t>
            </w:r>
          </w:p>
        </w:tc>
        <w:tc>
          <w:tcPr>
            <w:tcW w:w="5002" w:type="dxa"/>
            <w:tcBorders>
              <w:top w:val="nil"/>
              <w:left w:val="nil"/>
              <w:bottom w:val="single" w:color="auto" w:sz="4" w:space="0"/>
              <w:right w:val="single" w:color="auto" w:sz="4" w:space="0"/>
            </w:tcBorders>
            <w:shd w:val="clear" w:color="000000" w:fill="FFFFFF"/>
            <w:vAlign w:val="center"/>
          </w:tcPr>
          <w:p>
            <w:pPr>
              <w:widowControl/>
              <w:spacing w:line="250" w:lineRule="exact"/>
              <w:jc w:val="left"/>
              <w:rPr>
                <w:rFonts w:ascii="宋体" w:hAnsi="宋体" w:eastAsia="宋体" w:cs="宋体"/>
                <w:kern w:val="0"/>
                <w:sz w:val="18"/>
                <w:szCs w:val="18"/>
              </w:rPr>
            </w:pPr>
            <w:r>
              <w:rPr>
                <w:rFonts w:hint="eastAsia" w:ascii="宋体" w:hAnsi="宋体" w:eastAsia="宋体" w:cs="宋体"/>
                <w:kern w:val="0"/>
                <w:sz w:val="18"/>
                <w:szCs w:val="18"/>
              </w:rPr>
              <w:t>《电信条例》（国务院令第291号）、《电信业务经营许可管理办法》（工业和信息化部令第5号）</w:t>
            </w:r>
          </w:p>
        </w:tc>
        <w:tc>
          <w:tcPr>
            <w:tcW w:w="1261" w:type="dxa"/>
            <w:tcBorders>
              <w:top w:val="nil"/>
              <w:left w:val="nil"/>
              <w:bottom w:val="single" w:color="auto" w:sz="4" w:space="0"/>
              <w:right w:val="single" w:color="auto" w:sz="4" w:space="0"/>
            </w:tcBorders>
            <w:shd w:val="clear" w:color="000000" w:fill="FFFFFF"/>
            <w:vAlign w:val="center"/>
          </w:tcPr>
          <w:p>
            <w:pPr>
              <w:spacing w:line="250" w:lineRule="exact"/>
              <w:rPr>
                <w:rFonts w:ascii="宋体" w:hAnsi="宋体" w:eastAsia="宋体" w:cs="宋体"/>
                <w:sz w:val="18"/>
                <w:szCs w:val="18"/>
              </w:rPr>
            </w:pPr>
            <w:r>
              <w:rPr>
                <w:rFonts w:hint="eastAsia"/>
                <w:sz w:val="18"/>
                <w:szCs w:val="18"/>
              </w:rPr>
              <w:t>见附件</w:t>
            </w:r>
          </w:p>
        </w:tc>
      </w:tr>
      <w:tr>
        <w:tblPrEx>
          <w:tblCellMar>
            <w:top w:w="0" w:type="dxa"/>
            <w:left w:w="108" w:type="dxa"/>
            <w:bottom w:w="0" w:type="dxa"/>
            <w:right w:w="108" w:type="dxa"/>
          </w:tblCellMar>
        </w:tblPrEx>
        <w:trPr>
          <w:cantSplit/>
          <w:trHeight w:val="850" w:hRule="atLeast"/>
          <w:jc w:val="center"/>
        </w:trPr>
        <w:tc>
          <w:tcPr>
            <w:tcW w:w="756" w:type="dxa"/>
            <w:tcBorders>
              <w:top w:val="nil"/>
              <w:left w:val="single" w:color="auto" w:sz="4" w:space="0"/>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kern w:val="0"/>
                <w:sz w:val="18"/>
                <w:szCs w:val="18"/>
              </w:rPr>
            </w:pPr>
            <w:r>
              <w:rPr>
                <w:rFonts w:hint="eastAsia" w:ascii="宋体" w:hAnsi="宋体" w:eastAsia="宋体" w:cs="宋体"/>
                <w:kern w:val="0"/>
                <w:sz w:val="18"/>
                <w:szCs w:val="18"/>
              </w:rPr>
              <w:t>13</w:t>
            </w:r>
          </w:p>
        </w:tc>
        <w:tc>
          <w:tcPr>
            <w:tcW w:w="1116" w:type="dxa"/>
            <w:tcBorders>
              <w:top w:val="nil"/>
              <w:left w:val="nil"/>
              <w:bottom w:val="single" w:color="auto" w:sz="4" w:space="0"/>
              <w:right w:val="single" w:color="auto" w:sz="4" w:space="0"/>
            </w:tcBorders>
            <w:shd w:val="clear" w:color="000000" w:fill="FFFFFF"/>
            <w:vAlign w:val="center"/>
          </w:tcPr>
          <w:p>
            <w:pPr>
              <w:widowControl/>
              <w:spacing w:line="250" w:lineRule="exact"/>
              <w:jc w:val="left"/>
              <w:rPr>
                <w:rFonts w:ascii="宋体" w:hAnsi="宋体" w:eastAsia="宋体" w:cs="宋体"/>
                <w:kern w:val="0"/>
                <w:sz w:val="18"/>
                <w:szCs w:val="18"/>
              </w:rPr>
            </w:pPr>
            <w:r>
              <w:rPr>
                <w:rFonts w:hint="eastAsia" w:ascii="宋体" w:hAnsi="宋体" w:eastAsia="宋体" w:cs="宋体"/>
                <w:kern w:val="0"/>
                <w:sz w:val="18"/>
                <w:szCs w:val="18"/>
              </w:rPr>
              <w:t>省内互联网域名注册服务机构审批</w:t>
            </w:r>
          </w:p>
        </w:tc>
        <w:tc>
          <w:tcPr>
            <w:tcW w:w="1673" w:type="dxa"/>
            <w:tcBorders>
              <w:top w:val="nil"/>
              <w:left w:val="nil"/>
              <w:bottom w:val="single" w:color="auto" w:sz="4" w:space="0"/>
              <w:right w:val="single" w:color="auto" w:sz="4" w:space="0"/>
            </w:tcBorders>
            <w:shd w:val="clear" w:color="000000" w:fill="FFFFFF"/>
            <w:vAlign w:val="center"/>
          </w:tcPr>
          <w:p>
            <w:pPr>
              <w:widowControl/>
              <w:spacing w:line="250" w:lineRule="exact"/>
              <w:jc w:val="left"/>
              <w:rPr>
                <w:rFonts w:ascii="宋体" w:hAnsi="宋体" w:eastAsia="宋体" w:cs="宋体"/>
                <w:kern w:val="0"/>
                <w:sz w:val="18"/>
                <w:szCs w:val="18"/>
              </w:rPr>
            </w:pPr>
            <w:r>
              <w:rPr>
                <w:rFonts w:hint="eastAsia" w:ascii="宋体" w:hAnsi="宋体" w:eastAsia="宋体" w:cs="宋体"/>
                <w:kern w:val="0"/>
                <w:sz w:val="18"/>
                <w:szCs w:val="18"/>
              </w:rPr>
              <w:t>省通信管理局</w:t>
            </w:r>
          </w:p>
        </w:tc>
        <w:tc>
          <w:tcPr>
            <w:tcW w:w="5002" w:type="dxa"/>
            <w:tcBorders>
              <w:top w:val="nil"/>
              <w:left w:val="nil"/>
              <w:bottom w:val="single" w:color="auto" w:sz="4" w:space="0"/>
              <w:right w:val="single" w:color="auto" w:sz="4" w:space="0"/>
            </w:tcBorders>
            <w:shd w:val="clear" w:color="000000" w:fill="FFFFFF"/>
            <w:vAlign w:val="center"/>
          </w:tcPr>
          <w:p>
            <w:pPr>
              <w:widowControl/>
              <w:spacing w:line="250" w:lineRule="exact"/>
              <w:jc w:val="left"/>
              <w:rPr>
                <w:rFonts w:ascii="宋体" w:hAnsi="宋体" w:eastAsia="宋体" w:cs="宋体"/>
                <w:kern w:val="0"/>
                <w:sz w:val="18"/>
                <w:szCs w:val="18"/>
              </w:rPr>
            </w:pPr>
            <w:r>
              <w:rPr>
                <w:rFonts w:hint="eastAsia" w:ascii="宋体" w:hAnsi="宋体" w:eastAsia="宋体" w:cs="宋体"/>
                <w:kern w:val="0"/>
                <w:sz w:val="18"/>
                <w:szCs w:val="18"/>
              </w:rPr>
              <w:t>《中国互联网络域名管理办法》（工业和信息化部令第30号）</w:t>
            </w:r>
          </w:p>
          <w:p>
            <w:pPr>
              <w:widowControl/>
              <w:spacing w:line="250" w:lineRule="exact"/>
              <w:jc w:val="left"/>
              <w:rPr>
                <w:rFonts w:ascii="宋体" w:hAnsi="宋体" w:eastAsia="宋体" w:cs="宋体"/>
                <w:kern w:val="0"/>
                <w:sz w:val="18"/>
                <w:szCs w:val="18"/>
              </w:rPr>
            </w:pPr>
            <w:r>
              <w:rPr>
                <w:rFonts w:hint="eastAsia" w:ascii="宋体" w:hAnsi="宋体" w:eastAsia="宋体" w:cs="宋体"/>
                <w:kern w:val="0"/>
                <w:sz w:val="18"/>
                <w:szCs w:val="18"/>
              </w:rPr>
              <w:t>《国务院对确需保留的行政审批项目设定行政许可的决定》（国务院令第412号）</w:t>
            </w:r>
          </w:p>
        </w:tc>
        <w:tc>
          <w:tcPr>
            <w:tcW w:w="1261" w:type="dxa"/>
            <w:tcBorders>
              <w:top w:val="nil"/>
              <w:left w:val="nil"/>
              <w:bottom w:val="single" w:color="auto" w:sz="4" w:space="0"/>
              <w:right w:val="single" w:color="auto" w:sz="4" w:space="0"/>
            </w:tcBorders>
            <w:shd w:val="clear" w:color="000000" w:fill="FFFFFF"/>
            <w:vAlign w:val="center"/>
          </w:tcPr>
          <w:p>
            <w:pPr>
              <w:spacing w:line="250" w:lineRule="exact"/>
              <w:rPr>
                <w:rFonts w:ascii="宋体" w:hAnsi="宋体" w:eastAsia="宋体" w:cs="宋体"/>
                <w:sz w:val="18"/>
                <w:szCs w:val="18"/>
              </w:rPr>
            </w:pPr>
            <w:r>
              <w:rPr>
                <w:rFonts w:hint="eastAsia"/>
                <w:sz w:val="18"/>
                <w:szCs w:val="18"/>
              </w:rPr>
              <w:t>域名注册服务</w:t>
            </w:r>
          </w:p>
        </w:tc>
      </w:tr>
      <w:tr>
        <w:tblPrEx>
          <w:tblCellMar>
            <w:top w:w="0" w:type="dxa"/>
            <w:left w:w="108" w:type="dxa"/>
            <w:bottom w:w="0" w:type="dxa"/>
            <w:right w:w="108" w:type="dxa"/>
          </w:tblCellMar>
        </w:tblPrEx>
        <w:trPr>
          <w:cantSplit/>
          <w:trHeight w:val="651" w:hRule="atLeast"/>
          <w:jc w:val="center"/>
        </w:trPr>
        <w:tc>
          <w:tcPr>
            <w:tcW w:w="756" w:type="dxa"/>
            <w:tcBorders>
              <w:top w:val="nil"/>
              <w:left w:val="single" w:color="auto" w:sz="4" w:space="0"/>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kern w:val="0"/>
                <w:sz w:val="18"/>
                <w:szCs w:val="18"/>
              </w:rPr>
            </w:pPr>
            <w:r>
              <w:rPr>
                <w:rFonts w:hint="eastAsia" w:ascii="宋体" w:hAnsi="宋体" w:eastAsia="宋体" w:cs="宋体"/>
                <w:kern w:val="0"/>
                <w:sz w:val="18"/>
                <w:szCs w:val="18"/>
              </w:rPr>
              <w:t>14</w:t>
            </w:r>
          </w:p>
        </w:tc>
        <w:tc>
          <w:tcPr>
            <w:tcW w:w="1116"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清真食品生产经营许可</w:t>
            </w:r>
          </w:p>
        </w:tc>
        <w:tc>
          <w:tcPr>
            <w:tcW w:w="1673"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省、设区市、县（市、区）民委部门</w:t>
            </w:r>
          </w:p>
        </w:tc>
        <w:tc>
          <w:tcPr>
            <w:tcW w:w="5002"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《辽宁省清真食品生产经营管理条例》</w:t>
            </w:r>
          </w:p>
        </w:tc>
        <w:tc>
          <w:tcPr>
            <w:tcW w:w="1261" w:type="dxa"/>
            <w:tcBorders>
              <w:top w:val="nil"/>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sz w:val="18"/>
                <w:szCs w:val="18"/>
              </w:rPr>
            </w:pPr>
            <w:r>
              <w:rPr>
                <w:rFonts w:hint="eastAsia"/>
                <w:sz w:val="18"/>
                <w:szCs w:val="18"/>
              </w:rPr>
              <w:t>清真</w:t>
            </w:r>
          </w:p>
        </w:tc>
      </w:tr>
      <w:tr>
        <w:tblPrEx>
          <w:tblCellMar>
            <w:top w:w="0" w:type="dxa"/>
            <w:left w:w="108" w:type="dxa"/>
            <w:bottom w:w="0" w:type="dxa"/>
            <w:right w:w="108" w:type="dxa"/>
          </w:tblCellMar>
        </w:tblPrEx>
        <w:trPr>
          <w:cantSplit/>
          <w:trHeight w:val="1314" w:hRule="atLeast"/>
          <w:jc w:val="center"/>
        </w:trPr>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jc w:val="center"/>
            </w:pPr>
            <w:r>
              <w:rPr>
                <w:rFonts w:hint="eastAsia" w:ascii="宋体" w:hAnsi="宋体" w:eastAsia="宋体" w:cs="宋体"/>
                <w:kern w:val="0"/>
                <w:sz w:val="18"/>
                <w:szCs w:val="18"/>
              </w:rPr>
              <w:t>15</w:t>
            </w:r>
          </w:p>
        </w:tc>
        <w:tc>
          <w:tcPr>
            <w:tcW w:w="1116"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计算机信息系统安全专用产品销售许可</w:t>
            </w:r>
          </w:p>
        </w:tc>
        <w:tc>
          <w:tcPr>
            <w:tcW w:w="1673"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公安部</w:t>
            </w:r>
          </w:p>
        </w:tc>
        <w:tc>
          <w:tcPr>
            <w:tcW w:w="5002"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《计算机信息系统安全保护条例》(国务院令第147号)</w:t>
            </w:r>
          </w:p>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《计算机信息系统安全专用产品检测和销售许可证管理办法》（公安部令第32号）</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sz w:val="18"/>
                <w:szCs w:val="18"/>
              </w:rPr>
            </w:pPr>
            <w:r>
              <w:rPr>
                <w:rFonts w:hint="eastAsia"/>
                <w:sz w:val="18"/>
                <w:szCs w:val="18"/>
              </w:rPr>
              <w:t>信息安全产品</w:t>
            </w:r>
          </w:p>
        </w:tc>
      </w:tr>
      <w:tr>
        <w:tblPrEx>
          <w:tblCellMar>
            <w:top w:w="0" w:type="dxa"/>
            <w:left w:w="108" w:type="dxa"/>
            <w:bottom w:w="0" w:type="dxa"/>
            <w:right w:w="108" w:type="dxa"/>
          </w:tblCellMar>
        </w:tblPrEx>
        <w:trPr>
          <w:cantSplit/>
          <w:trHeight w:val="841" w:hRule="atLeast"/>
          <w:jc w:val="center"/>
        </w:trPr>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kern w:val="0"/>
                <w:sz w:val="18"/>
                <w:szCs w:val="18"/>
              </w:rPr>
            </w:pPr>
            <w:r>
              <w:rPr>
                <w:rFonts w:hint="eastAsia" w:ascii="宋体" w:hAnsi="宋体" w:eastAsia="宋体" w:cs="宋体"/>
                <w:kern w:val="0"/>
                <w:sz w:val="18"/>
                <w:szCs w:val="18"/>
              </w:rPr>
              <w:t>16</w:t>
            </w:r>
          </w:p>
        </w:tc>
        <w:tc>
          <w:tcPr>
            <w:tcW w:w="1116"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保安培训许可证核发</w:t>
            </w:r>
          </w:p>
        </w:tc>
        <w:tc>
          <w:tcPr>
            <w:tcW w:w="1673"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省公安厅</w:t>
            </w:r>
          </w:p>
        </w:tc>
        <w:tc>
          <w:tcPr>
            <w:tcW w:w="5002"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《保安服务管理条例》（国务院令第564号）</w:t>
            </w:r>
          </w:p>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《国务院关于取消和调整一批行政审批项目等事项的决定》（国发〔2014〕50号）</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sz w:val="18"/>
                <w:szCs w:val="18"/>
              </w:rPr>
            </w:pPr>
            <w:r>
              <w:rPr>
                <w:rFonts w:hint="eastAsia"/>
                <w:sz w:val="18"/>
                <w:szCs w:val="18"/>
              </w:rPr>
              <w:t>保安培训</w:t>
            </w:r>
          </w:p>
        </w:tc>
      </w:tr>
      <w:tr>
        <w:tblPrEx>
          <w:tblCellMar>
            <w:top w:w="0" w:type="dxa"/>
            <w:left w:w="108" w:type="dxa"/>
            <w:bottom w:w="0" w:type="dxa"/>
            <w:right w:w="108" w:type="dxa"/>
          </w:tblCellMar>
        </w:tblPrEx>
        <w:trPr>
          <w:cantSplit/>
          <w:trHeight w:val="569" w:hRule="atLeast"/>
          <w:jc w:val="center"/>
        </w:trPr>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kern w:val="0"/>
                <w:sz w:val="18"/>
                <w:szCs w:val="18"/>
              </w:rPr>
            </w:pPr>
            <w:r>
              <w:rPr>
                <w:rFonts w:hint="eastAsia" w:ascii="宋体" w:hAnsi="宋体" w:eastAsia="宋体" w:cs="宋体"/>
                <w:kern w:val="0"/>
                <w:sz w:val="18"/>
                <w:szCs w:val="18"/>
              </w:rPr>
              <w:t>17</w:t>
            </w:r>
          </w:p>
        </w:tc>
        <w:tc>
          <w:tcPr>
            <w:tcW w:w="1116"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营业性射击场所许可</w:t>
            </w:r>
          </w:p>
        </w:tc>
        <w:tc>
          <w:tcPr>
            <w:tcW w:w="1673"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省公安厅</w:t>
            </w:r>
          </w:p>
        </w:tc>
        <w:tc>
          <w:tcPr>
            <w:tcW w:w="5002"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《枪支管理法》</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sz w:val="18"/>
                <w:szCs w:val="18"/>
              </w:rPr>
            </w:pPr>
            <w:r>
              <w:rPr>
                <w:rFonts w:hint="eastAsia"/>
                <w:sz w:val="18"/>
                <w:szCs w:val="18"/>
              </w:rPr>
              <w:t>射击</w:t>
            </w:r>
          </w:p>
        </w:tc>
      </w:tr>
      <w:tr>
        <w:tblPrEx>
          <w:tblCellMar>
            <w:top w:w="0" w:type="dxa"/>
            <w:left w:w="108" w:type="dxa"/>
            <w:bottom w:w="0" w:type="dxa"/>
            <w:right w:w="108" w:type="dxa"/>
          </w:tblCellMar>
        </w:tblPrEx>
        <w:trPr>
          <w:cantSplit/>
          <w:trHeight w:val="1397" w:hRule="atLeast"/>
          <w:jc w:val="center"/>
        </w:trPr>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kern w:val="0"/>
                <w:sz w:val="18"/>
                <w:szCs w:val="18"/>
              </w:rPr>
            </w:pPr>
            <w:r>
              <w:rPr>
                <w:rFonts w:hint="eastAsia" w:ascii="宋体" w:hAnsi="宋体" w:eastAsia="宋体" w:cs="宋体"/>
                <w:kern w:val="0"/>
                <w:sz w:val="18"/>
                <w:szCs w:val="18"/>
              </w:rPr>
              <w:t>18</w:t>
            </w:r>
          </w:p>
        </w:tc>
        <w:tc>
          <w:tcPr>
            <w:tcW w:w="1116"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公章（机构）刻制业特种行业许可证核发</w:t>
            </w:r>
          </w:p>
        </w:tc>
        <w:tc>
          <w:tcPr>
            <w:tcW w:w="1673"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县（市、区）公安部门</w:t>
            </w:r>
          </w:p>
        </w:tc>
        <w:tc>
          <w:tcPr>
            <w:tcW w:w="5002"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《国务院对确需保留的行政审批项目设定行政许可的决定》（国务院令第412号）</w:t>
            </w:r>
          </w:p>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《国务院关于第三批取消中央指定地方实施行政许可事项的决定》（国发〔2017〕7号）</w:t>
            </w:r>
          </w:p>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《国务院关于取消和调整一批行政审批项目等事项的决定》（国发〔2015〕11号）</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sz w:val="18"/>
                <w:szCs w:val="18"/>
              </w:rPr>
            </w:pPr>
            <w:r>
              <w:rPr>
                <w:rFonts w:hint="eastAsia"/>
                <w:sz w:val="18"/>
                <w:szCs w:val="18"/>
              </w:rPr>
              <w:t>印章刻制、公章刻制</w:t>
            </w:r>
          </w:p>
        </w:tc>
      </w:tr>
      <w:tr>
        <w:tblPrEx>
          <w:tblCellMar>
            <w:top w:w="0" w:type="dxa"/>
            <w:left w:w="108" w:type="dxa"/>
            <w:bottom w:w="0" w:type="dxa"/>
            <w:right w:w="108" w:type="dxa"/>
          </w:tblCellMar>
        </w:tblPrEx>
        <w:trPr>
          <w:cantSplit/>
          <w:trHeight w:val="1203" w:hRule="atLeast"/>
          <w:jc w:val="center"/>
        </w:trPr>
        <w:tc>
          <w:tcPr>
            <w:tcW w:w="756" w:type="dxa"/>
            <w:tcBorders>
              <w:top w:val="nil"/>
              <w:left w:val="single" w:color="auto" w:sz="4" w:space="0"/>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kern w:val="0"/>
                <w:sz w:val="18"/>
                <w:szCs w:val="18"/>
              </w:rPr>
            </w:pPr>
            <w:r>
              <w:rPr>
                <w:rFonts w:hint="eastAsia" w:ascii="宋体" w:hAnsi="宋体" w:eastAsia="宋体" w:cs="宋体"/>
                <w:kern w:val="0"/>
                <w:sz w:val="18"/>
                <w:szCs w:val="18"/>
              </w:rPr>
              <w:t>19</w:t>
            </w:r>
          </w:p>
        </w:tc>
        <w:tc>
          <w:tcPr>
            <w:tcW w:w="1116"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旅馆业特种行业许可证核发</w:t>
            </w:r>
          </w:p>
        </w:tc>
        <w:tc>
          <w:tcPr>
            <w:tcW w:w="1673"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县（市、区）公安部门</w:t>
            </w:r>
          </w:p>
        </w:tc>
        <w:tc>
          <w:tcPr>
            <w:tcW w:w="5002"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《旅馆业治安管理办法》（国务院令第588号）</w:t>
            </w:r>
          </w:p>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《国务院对确需保留的行政审批项目设定行政许可的决定》（国务院令第412号）</w:t>
            </w:r>
          </w:p>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《国务院关于取消和调整一批行政审批项目等事项的决定》（国发〔2015〕11号）</w:t>
            </w:r>
          </w:p>
        </w:tc>
        <w:tc>
          <w:tcPr>
            <w:tcW w:w="1261" w:type="dxa"/>
            <w:tcBorders>
              <w:top w:val="nil"/>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sz w:val="18"/>
                <w:szCs w:val="18"/>
              </w:rPr>
            </w:pPr>
            <w:r>
              <w:rPr>
                <w:rFonts w:hint="eastAsia"/>
                <w:sz w:val="18"/>
                <w:szCs w:val="18"/>
              </w:rPr>
              <w:t>旅馆、旅店、住宿</w:t>
            </w:r>
          </w:p>
        </w:tc>
      </w:tr>
      <w:tr>
        <w:tblPrEx>
          <w:tblCellMar>
            <w:top w:w="0" w:type="dxa"/>
            <w:left w:w="108" w:type="dxa"/>
            <w:bottom w:w="0" w:type="dxa"/>
            <w:right w:w="108" w:type="dxa"/>
          </w:tblCellMar>
        </w:tblPrEx>
        <w:trPr>
          <w:cantSplit/>
          <w:trHeight w:val="1372" w:hRule="atLeast"/>
          <w:jc w:val="center"/>
        </w:trPr>
        <w:tc>
          <w:tcPr>
            <w:tcW w:w="756" w:type="dxa"/>
            <w:tcBorders>
              <w:top w:val="nil"/>
              <w:left w:val="single" w:color="auto" w:sz="4" w:space="0"/>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1116"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典当业特种行业许可证核发</w:t>
            </w:r>
          </w:p>
        </w:tc>
        <w:tc>
          <w:tcPr>
            <w:tcW w:w="1673"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县（市、区）公安部门</w:t>
            </w:r>
          </w:p>
        </w:tc>
        <w:tc>
          <w:tcPr>
            <w:tcW w:w="5002"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《国务院对确需保留的行政审批项目设定行政许可的决定》（国务院令第412号）</w:t>
            </w:r>
          </w:p>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《典当管理办法》（商务部、公安部令第8号）</w:t>
            </w:r>
          </w:p>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《国务院关于取消和调整一批行政审批项目等事项的决定》（国发〔2015〕11号）</w:t>
            </w:r>
          </w:p>
        </w:tc>
        <w:tc>
          <w:tcPr>
            <w:tcW w:w="1261" w:type="dxa"/>
            <w:tcBorders>
              <w:top w:val="nil"/>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sz w:val="18"/>
                <w:szCs w:val="18"/>
              </w:rPr>
            </w:pPr>
            <w:r>
              <w:rPr>
                <w:rFonts w:hint="eastAsia"/>
                <w:sz w:val="18"/>
                <w:szCs w:val="18"/>
              </w:rPr>
              <w:t>典当</w:t>
            </w:r>
          </w:p>
        </w:tc>
      </w:tr>
      <w:tr>
        <w:tblPrEx>
          <w:tblCellMar>
            <w:top w:w="0" w:type="dxa"/>
            <w:left w:w="108" w:type="dxa"/>
            <w:bottom w:w="0" w:type="dxa"/>
            <w:right w:w="108" w:type="dxa"/>
          </w:tblCellMar>
        </w:tblPrEx>
        <w:trPr>
          <w:cantSplit/>
          <w:trHeight w:val="1204" w:hRule="atLeast"/>
          <w:jc w:val="center"/>
        </w:trPr>
        <w:tc>
          <w:tcPr>
            <w:tcW w:w="756" w:type="dxa"/>
            <w:tcBorders>
              <w:top w:val="nil"/>
              <w:left w:val="single" w:color="auto" w:sz="4" w:space="0"/>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kern w:val="0"/>
                <w:sz w:val="18"/>
                <w:szCs w:val="18"/>
              </w:rPr>
            </w:pPr>
            <w:r>
              <w:rPr>
                <w:rFonts w:hint="eastAsia" w:ascii="宋体" w:hAnsi="宋体" w:eastAsia="宋体" w:cs="宋体"/>
                <w:kern w:val="0"/>
                <w:sz w:val="18"/>
                <w:szCs w:val="18"/>
              </w:rPr>
              <w:t>21</w:t>
            </w:r>
          </w:p>
        </w:tc>
        <w:tc>
          <w:tcPr>
            <w:tcW w:w="1116"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设立殡仪服务站、骨灰堂、殡仪馆、火葬场审批</w:t>
            </w:r>
          </w:p>
        </w:tc>
        <w:tc>
          <w:tcPr>
            <w:tcW w:w="1673"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设区市、县（市、区）民政部门</w:t>
            </w:r>
          </w:p>
        </w:tc>
        <w:tc>
          <w:tcPr>
            <w:tcW w:w="5002"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《殡葬管理条例》（国务院令第628号）</w:t>
            </w:r>
          </w:p>
        </w:tc>
        <w:tc>
          <w:tcPr>
            <w:tcW w:w="1261" w:type="dxa"/>
            <w:tcBorders>
              <w:top w:val="nil"/>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sz w:val="18"/>
                <w:szCs w:val="18"/>
              </w:rPr>
            </w:pPr>
            <w:r>
              <w:rPr>
                <w:rFonts w:hint="eastAsia"/>
                <w:sz w:val="18"/>
                <w:szCs w:val="18"/>
              </w:rPr>
              <w:t>殡仪、骨灰、火葬</w:t>
            </w:r>
          </w:p>
        </w:tc>
      </w:tr>
      <w:tr>
        <w:tblPrEx>
          <w:tblCellMar>
            <w:top w:w="0" w:type="dxa"/>
            <w:left w:w="108" w:type="dxa"/>
            <w:bottom w:w="0" w:type="dxa"/>
            <w:right w:w="108" w:type="dxa"/>
          </w:tblCellMar>
        </w:tblPrEx>
        <w:trPr>
          <w:cantSplit/>
          <w:trHeight w:val="1021" w:hRule="atLeast"/>
          <w:jc w:val="center"/>
        </w:trPr>
        <w:tc>
          <w:tcPr>
            <w:tcW w:w="756" w:type="dxa"/>
            <w:tcBorders>
              <w:top w:val="nil"/>
              <w:left w:val="single" w:color="auto" w:sz="4" w:space="0"/>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kern w:val="0"/>
                <w:sz w:val="18"/>
                <w:szCs w:val="18"/>
              </w:rPr>
            </w:pPr>
            <w:r>
              <w:rPr>
                <w:rFonts w:hint="eastAsia" w:ascii="宋体" w:hAnsi="宋体" w:eastAsia="宋体" w:cs="宋体"/>
                <w:kern w:val="0"/>
                <w:sz w:val="18"/>
                <w:szCs w:val="18"/>
              </w:rPr>
              <w:t>22</w:t>
            </w:r>
          </w:p>
        </w:tc>
        <w:tc>
          <w:tcPr>
            <w:tcW w:w="1116"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建设经营性公墓审批</w:t>
            </w:r>
          </w:p>
        </w:tc>
        <w:tc>
          <w:tcPr>
            <w:tcW w:w="1673"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省民政厅</w:t>
            </w:r>
          </w:p>
        </w:tc>
        <w:tc>
          <w:tcPr>
            <w:tcW w:w="5002"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《殡葬管理条例》（国务院令第628号）</w:t>
            </w:r>
          </w:p>
        </w:tc>
        <w:tc>
          <w:tcPr>
            <w:tcW w:w="1261" w:type="dxa"/>
            <w:tcBorders>
              <w:top w:val="nil"/>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sz w:val="18"/>
                <w:szCs w:val="18"/>
              </w:rPr>
            </w:pPr>
            <w:r>
              <w:rPr>
                <w:rFonts w:hint="eastAsia"/>
                <w:sz w:val="18"/>
                <w:szCs w:val="18"/>
              </w:rPr>
              <w:t>公墓</w:t>
            </w:r>
          </w:p>
        </w:tc>
      </w:tr>
      <w:tr>
        <w:tblPrEx>
          <w:tblCellMar>
            <w:top w:w="0" w:type="dxa"/>
            <w:left w:w="108" w:type="dxa"/>
            <w:bottom w:w="0" w:type="dxa"/>
            <w:right w:w="108" w:type="dxa"/>
          </w:tblCellMar>
        </w:tblPrEx>
        <w:trPr>
          <w:cantSplit/>
          <w:trHeight w:val="986" w:hRule="atLeast"/>
          <w:jc w:val="center"/>
        </w:trPr>
        <w:tc>
          <w:tcPr>
            <w:tcW w:w="756" w:type="dxa"/>
            <w:tcBorders>
              <w:top w:val="nil"/>
              <w:left w:val="single" w:color="auto" w:sz="4" w:space="0"/>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kern w:val="0"/>
                <w:sz w:val="18"/>
                <w:szCs w:val="18"/>
              </w:rPr>
            </w:pPr>
            <w:r>
              <w:rPr>
                <w:rFonts w:hint="eastAsia" w:ascii="宋体" w:hAnsi="宋体" w:eastAsia="宋体" w:cs="宋体"/>
                <w:kern w:val="0"/>
                <w:sz w:val="18"/>
                <w:szCs w:val="18"/>
              </w:rPr>
              <w:t>23</w:t>
            </w:r>
          </w:p>
        </w:tc>
        <w:tc>
          <w:tcPr>
            <w:tcW w:w="1116"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会计师事务所及其分支机构设立审批</w:t>
            </w:r>
          </w:p>
        </w:tc>
        <w:tc>
          <w:tcPr>
            <w:tcW w:w="1673"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省财政厅</w:t>
            </w:r>
          </w:p>
        </w:tc>
        <w:tc>
          <w:tcPr>
            <w:tcW w:w="5002"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《注册会计师法》</w:t>
            </w:r>
          </w:p>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《国务院关于取消和调整一批行政审批项目等事项的决定》（国发〔2014〕50号）</w:t>
            </w:r>
          </w:p>
        </w:tc>
        <w:tc>
          <w:tcPr>
            <w:tcW w:w="1261" w:type="dxa"/>
            <w:tcBorders>
              <w:top w:val="nil"/>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sz w:val="18"/>
                <w:szCs w:val="18"/>
              </w:rPr>
            </w:pPr>
            <w:r>
              <w:rPr>
                <w:rFonts w:hint="eastAsia"/>
                <w:sz w:val="18"/>
                <w:szCs w:val="18"/>
              </w:rPr>
              <w:t>会计师事务所</w:t>
            </w:r>
          </w:p>
        </w:tc>
      </w:tr>
      <w:tr>
        <w:tblPrEx>
          <w:tblCellMar>
            <w:top w:w="0" w:type="dxa"/>
            <w:left w:w="108" w:type="dxa"/>
            <w:bottom w:w="0" w:type="dxa"/>
            <w:right w:w="108" w:type="dxa"/>
          </w:tblCellMar>
        </w:tblPrEx>
        <w:trPr>
          <w:cantSplit/>
          <w:trHeight w:val="408" w:hRule="atLeast"/>
          <w:jc w:val="center"/>
        </w:trPr>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b/>
                <w:bCs/>
                <w:kern w:val="0"/>
                <w:sz w:val="18"/>
                <w:szCs w:val="18"/>
              </w:rPr>
            </w:pPr>
            <w:r>
              <w:rPr>
                <w:rFonts w:hint="eastAsia" w:ascii="宋体" w:hAnsi="宋体" w:eastAsia="宋体" w:cs="宋体"/>
                <w:b/>
                <w:bCs/>
                <w:kern w:val="0"/>
                <w:sz w:val="18"/>
                <w:szCs w:val="18"/>
              </w:rPr>
              <w:t>序号</w:t>
            </w:r>
          </w:p>
        </w:tc>
        <w:tc>
          <w:tcPr>
            <w:tcW w:w="1116"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b/>
                <w:bCs/>
                <w:kern w:val="0"/>
                <w:sz w:val="18"/>
                <w:szCs w:val="18"/>
              </w:rPr>
            </w:pPr>
            <w:r>
              <w:rPr>
                <w:rFonts w:hint="eastAsia" w:ascii="宋体" w:hAnsi="宋体" w:eastAsia="宋体" w:cs="宋体"/>
                <w:b/>
                <w:bCs/>
                <w:kern w:val="0"/>
                <w:sz w:val="18"/>
                <w:szCs w:val="18"/>
              </w:rPr>
              <w:t>项目名称</w:t>
            </w:r>
          </w:p>
        </w:tc>
        <w:tc>
          <w:tcPr>
            <w:tcW w:w="1673"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b/>
                <w:bCs/>
                <w:kern w:val="0"/>
                <w:sz w:val="18"/>
                <w:szCs w:val="18"/>
              </w:rPr>
            </w:pPr>
            <w:r>
              <w:rPr>
                <w:rFonts w:hint="eastAsia" w:ascii="宋体" w:hAnsi="宋体" w:eastAsia="宋体" w:cs="宋体"/>
                <w:b/>
                <w:bCs/>
                <w:kern w:val="0"/>
                <w:sz w:val="18"/>
                <w:szCs w:val="18"/>
              </w:rPr>
              <w:t>实施机关</w:t>
            </w:r>
          </w:p>
        </w:tc>
        <w:tc>
          <w:tcPr>
            <w:tcW w:w="5002"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b/>
                <w:bCs/>
                <w:kern w:val="0"/>
                <w:sz w:val="18"/>
                <w:szCs w:val="18"/>
              </w:rPr>
            </w:pPr>
            <w:r>
              <w:rPr>
                <w:rFonts w:hint="eastAsia" w:ascii="宋体" w:hAnsi="宋体" w:eastAsia="宋体" w:cs="宋体"/>
                <w:b/>
                <w:bCs/>
                <w:kern w:val="0"/>
                <w:sz w:val="18"/>
                <w:szCs w:val="18"/>
              </w:rPr>
              <w:t xml:space="preserve">设定依据                                                                                         </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sz w:val="18"/>
                <w:szCs w:val="18"/>
              </w:rPr>
            </w:pPr>
            <w:r>
              <w:rPr>
                <w:rFonts w:hint="eastAsia" w:ascii="宋体" w:hAnsi="宋体" w:eastAsia="宋体" w:cs="宋体"/>
                <w:b/>
                <w:bCs/>
                <w:kern w:val="0"/>
                <w:sz w:val="18"/>
                <w:szCs w:val="18"/>
              </w:rPr>
              <w:t>检索关键词</w:t>
            </w:r>
          </w:p>
        </w:tc>
      </w:tr>
      <w:tr>
        <w:tblPrEx>
          <w:tblCellMar>
            <w:top w:w="0" w:type="dxa"/>
            <w:left w:w="108" w:type="dxa"/>
            <w:bottom w:w="0" w:type="dxa"/>
            <w:right w:w="108" w:type="dxa"/>
          </w:tblCellMar>
        </w:tblPrEx>
        <w:trPr>
          <w:cantSplit/>
          <w:trHeight w:val="1012" w:hRule="atLeast"/>
          <w:jc w:val="center"/>
        </w:trPr>
        <w:tc>
          <w:tcPr>
            <w:tcW w:w="756" w:type="dxa"/>
            <w:tcBorders>
              <w:top w:val="nil"/>
              <w:left w:val="single" w:color="auto" w:sz="4" w:space="0"/>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kern w:val="0"/>
                <w:sz w:val="18"/>
                <w:szCs w:val="18"/>
              </w:rPr>
            </w:pPr>
            <w:r>
              <w:rPr>
                <w:rFonts w:hint="eastAsia" w:ascii="宋体" w:hAnsi="宋体" w:eastAsia="宋体" w:cs="宋体"/>
                <w:kern w:val="0"/>
                <w:sz w:val="18"/>
                <w:szCs w:val="18"/>
              </w:rPr>
              <w:t>24</w:t>
            </w:r>
          </w:p>
        </w:tc>
        <w:tc>
          <w:tcPr>
            <w:tcW w:w="1116"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中介机构从事会计代理记账业务审批</w:t>
            </w:r>
          </w:p>
        </w:tc>
        <w:tc>
          <w:tcPr>
            <w:tcW w:w="1673"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设区市、县（市、区）财政部门</w:t>
            </w:r>
          </w:p>
        </w:tc>
        <w:tc>
          <w:tcPr>
            <w:tcW w:w="5002"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《会计法》</w:t>
            </w:r>
          </w:p>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《代理记账管理办法》(财政部令第80号)</w:t>
            </w:r>
          </w:p>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《关于修订辽宁省代理记账管理实施办法的通知》（辽财会〔2016〕317号）</w:t>
            </w:r>
          </w:p>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《国务院关于取消和调整一批行政审批项目等事项的决定》（国发〔2014〕50号）</w:t>
            </w:r>
          </w:p>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《关于进一步推进审批事项“证照分离”改革有关事宜的通知》（辽财会〔2018〕640号）</w:t>
            </w:r>
          </w:p>
        </w:tc>
        <w:tc>
          <w:tcPr>
            <w:tcW w:w="1261" w:type="dxa"/>
            <w:tcBorders>
              <w:top w:val="nil"/>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sz w:val="18"/>
                <w:szCs w:val="18"/>
              </w:rPr>
            </w:pPr>
            <w:r>
              <w:rPr>
                <w:rFonts w:hint="eastAsia"/>
                <w:sz w:val="18"/>
                <w:szCs w:val="18"/>
              </w:rPr>
              <w:t>会计代理记账</w:t>
            </w:r>
          </w:p>
        </w:tc>
      </w:tr>
      <w:tr>
        <w:tblPrEx>
          <w:tblCellMar>
            <w:top w:w="0" w:type="dxa"/>
            <w:left w:w="108" w:type="dxa"/>
            <w:bottom w:w="0" w:type="dxa"/>
            <w:right w:w="108" w:type="dxa"/>
          </w:tblCellMar>
        </w:tblPrEx>
        <w:trPr>
          <w:cantSplit/>
          <w:trHeight w:val="1223" w:hRule="atLeast"/>
          <w:jc w:val="center"/>
        </w:trPr>
        <w:tc>
          <w:tcPr>
            <w:tcW w:w="756" w:type="dxa"/>
            <w:tcBorders>
              <w:top w:val="nil"/>
              <w:left w:val="single" w:color="auto" w:sz="4" w:space="0"/>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kern w:val="0"/>
                <w:sz w:val="18"/>
                <w:szCs w:val="18"/>
              </w:rPr>
            </w:pPr>
            <w:r>
              <w:rPr>
                <w:rFonts w:hint="eastAsia" w:ascii="宋体" w:hAnsi="宋体" w:eastAsia="宋体" w:cs="宋体"/>
                <w:kern w:val="0"/>
                <w:sz w:val="18"/>
                <w:szCs w:val="18"/>
              </w:rPr>
              <w:t>25</w:t>
            </w:r>
          </w:p>
        </w:tc>
        <w:tc>
          <w:tcPr>
            <w:tcW w:w="1116"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会计师事务所从事证券、期货相关业务资格审批</w:t>
            </w:r>
          </w:p>
        </w:tc>
        <w:tc>
          <w:tcPr>
            <w:tcW w:w="1673"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财政部、证监会</w:t>
            </w:r>
          </w:p>
        </w:tc>
        <w:tc>
          <w:tcPr>
            <w:tcW w:w="5002"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《证券法》</w:t>
            </w:r>
          </w:p>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《国务院对确需保留的行政审批项目设定行政许可的决定》（国务院令第412号）</w:t>
            </w:r>
          </w:p>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《国务院关于取消和调整一批行政审批项目等事项的决定》（国发〔2014〕50号）</w:t>
            </w:r>
          </w:p>
        </w:tc>
        <w:tc>
          <w:tcPr>
            <w:tcW w:w="1261" w:type="dxa"/>
            <w:tcBorders>
              <w:top w:val="nil"/>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sz w:val="18"/>
                <w:szCs w:val="18"/>
              </w:rPr>
            </w:pPr>
            <w:r>
              <w:rPr>
                <w:rFonts w:hint="eastAsia"/>
                <w:sz w:val="18"/>
                <w:szCs w:val="18"/>
              </w:rPr>
              <w:t>会计师事务所</w:t>
            </w:r>
          </w:p>
        </w:tc>
      </w:tr>
      <w:tr>
        <w:tblPrEx>
          <w:tblCellMar>
            <w:top w:w="0" w:type="dxa"/>
            <w:left w:w="108" w:type="dxa"/>
            <w:bottom w:w="0" w:type="dxa"/>
            <w:right w:w="108" w:type="dxa"/>
          </w:tblCellMar>
        </w:tblPrEx>
        <w:trPr>
          <w:cantSplit/>
          <w:trHeight w:val="1223" w:hRule="atLeast"/>
          <w:jc w:val="center"/>
        </w:trPr>
        <w:tc>
          <w:tcPr>
            <w:tcW w:w="756" w:type="dxa"/>
            <w:tcBorders>
              <w:top w:val="nil"/>
              <w:left w:val="single" w:color="auto" w:sz="4" w:space="0"/>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kern w:val="0"/>
                <w:sz w:val="18"/>
                <w:szCs w:val="18"/>
              </w:rPr>
            </w:pPr>
            <w:r>
              <w:rPr>
                <w:rFonts w:hint="eastAsia" w:ascii="宋体" w:hAnsi="宋体" w:eastAsia="宋体" w:cs="宋体"/>
                <w:kern w:val="0"/>
                <w:sz w:val="18"/>
                <w:szCs w:val="18"/>
              </w:rPr>
              <w:t>26</w:t>
            </w:r>
          </w:p>
        </w:tc>
        <w:tc>
          <w:tcPr>
            <w:tcW w:w="1116"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资产评估机构从事证券业务资格审批</w:t>
            </w:r>
          </w:p>
        </w:tc>
        <w:tc>
          <w:tcPr>
            <w:tcW w:w="1673"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财政部、证监会</w:t>
            </w:r>
          </w:p>
        </w:tc>
        <w:tc>
          <w:tcPr>
            <w:tcW w:w="5002"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《证券法》</w:t>
            </w:r>
          </w:p>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《国务院对确需保留的行政审批项目设定行政许可的决定》（国务院令第412号）</w:t>
            </w:r>
          </w:p>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《国务院关于取消和调整一批行政审批项目等事项的决定》（国发〔2014〕50号）</w:t>
            </w:r>
          </w:p>
        </w:tc>
        <w:tc>
          <w:tcPr>
            <w:tcW w:w="1261" w:type="dxa"/>
            <w:tcBorders>
              <w:top w:val="nil"/>
              <w:left w:val="nil"/>
              <w:bottom w:val="single" w:color="auto" w:sz="4" w:space="0"/>
              <w:right w:val="single" w:color="auto" w:sz="4" w:space="0"/>
            </w:tcBorders>
            <w:shd w:val="clear" w:color="000000" w:fill="FFFFFF"/>
            <w:vAlign w:val="center"/>
          </w:tcPr>
          <w:p>
            <w:pPr>
              <w:spacing w:line="220" w:lineRule="exact"/>
              <w:rPr>
                <w:sz w:val="18"/>
                <w:szCs w:val="18"/>
              </w:rPr>
            </w:pPr>
            <w:r>
              <w:rPr>
                <w:rFonts w:hint="eastAsia"/>
                <w:sz w:val="18"/>
                <w:szCs w:val="18"/>
              </w:rPr>
              <w:t>证券服务</w:t>
            </w:r>
          </w:p>
        </w:tc>
      </w:tr>
      <w:tr>
        <w:tblPrEx>
          <w:tblCellMar>
            <w:top w:w="0" w:type="dxa"/>
            <w:left w:w="108" w:type="dxa"/>
            <w:bottom w:w="0" w:type="dxa"/>
            <w:right w:w="108" w:type="dxa"/>
          </w:tblCellMar>
        </w:tblPrEx>
        <w:trPr>
          <w:cantSplit/>
          <w:trHeight w:val="1154" w:hRule="atLeast"/>
          <w:jc w:val="center"/>
        </w:trPr>
        <w:tc>
          <w:tcPr>
            <w:tcW w:w="756" w:type="dxa"/>
            <w:tcBorders>
              <w:top w:val="nil"/>
              <w:left w:val="single" w:color="auto" w:sz="4" w:space="0"/>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kern w:val="0"/>
                <w:sz w:val="18"/>
                <w:szCs w:val="18"/>
              </w:rPr>
            </w:pPr>
            <w:r>
              <w:rPr>
                <w:rFonts w:hint="eastAsia" w:ascii="宋体" w:hAnsi="宋体" w:eastAsia="宋体" w:cs="宋体"/>
                <w:kern w:val="0"/>
                <w:sz w:val="18"/>
                <w:szCs w:val="18"/>
              </w:rPr>
              <w:t>27</w:t>
            </w:r>
          </w:p>
        </w:tc>
        <w:tc>
          <w:tcPr>
            <w:tcW w:w="1116"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设立人才中介服务机构及其业务范围审批</w:t>
            </w:r>
          </w:p>
        </w:tc>
        <w:tc>
          <w:tcPr>
            <w:tcW w:w="1673"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省、设区市、县（市、区）人力资源社会保障部门</w:t>
            </w:r>
          </w:p>
        </w:tc>
        <w:tc>
          <w:tcPr>
            <w:tcW w:w="5002"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《就业促进法》《人力资源市场暂行条例》(国务院令700号)</w:t>
            </w:r>
          </w:p>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《关于做好人力资源服务行政许可及备案有关工作的通知》（人社部发〔2018〕60号）</w:t>
            </w:r>
          </w:p>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《国务院对确需保留的行政审批项目设定行政许可的决定》（国务院令第412号）</w:t>
            </w:r>
          </w:p>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《辽宁省劳动力市场管理条例》《辽宁省人才市场管理条例》</w:t>
            </w:r>
          </w:p>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《关于进一步加强人力资源市场监管有关工作的通知》（人社部发〔2010〕10号）</w:t>
            </w:r>
          </w:p>
        </w:tc>
        <w:tc>
          <w:tcPr>
            <w:tcW w:w="1261" w:type="dxa"/>
            <w:tcBorders>
              <w:top w:val="nil"/>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sz w:val="18"/>
                <w:szCs w:val="18"/>
              </w:rPr>
            </w:pPr>
            <w:r>
              <w:rPr>
                <w:rFonts w:hint="eastAsia"/>
                <w:sz w:val="18"/>
                <w:szCs w:val="18"/>
              </w:rPr>
              <w:t>人力资源服务</w:t>
            </w:r>
          </w:p>
        </w:tc>
      </w:tr>
      <w:tr>
        <w:tblPrEx>
          <w:tblCellMar>
            <w:top w:w="0" w:type="dxa"/>
            <w:left w:w="108" w:type="dxa"/>
            <w:bottom w:w="0" w:type="dxa"/>
            <w:right w:w="108" w:type="dxa"/>
          </w:tblCellMar>
        </w:tblPrEx>
        <w:trPr>
          <w:cantSplit/>
          <w:trHeight w:val="1363" w:hRule="atLeast"/>
          <w:jc w:val="center"/>
        </w:trPr>
        <w:tc>
          <w:tcPr>
            <w:tcW w:w="756" w:type="dxa"/>
            <w:tcBorders>
              <w:top w:val="nil"/>
              <w:left w:val="single" w:color="auto" w:sz="4" w:space="0"/>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kern w:val="0"/>
                <w:sz w:val="18"/>
                <w:szCs w:val="18"/>
              </w:rPr>
            </w:pPr>
            <w:r>
              <w:rPr>
                <w:rFonts w:hint="eastAsia" w:ascii="宋体" w:hAnsi="宋体" w:eastAsia="宋体" w:cs="宋体"/>
                <w:kern w:val="0"/>
                <w:sz w:val="18"/>
                <w:szCs w:val="18"/>
              </w:rPr>
              <w:t>28</w:t>
            </w:r>
          </w:p>
        </w:tc>
        <w:tc>
          <w:tcPr>
            <w:tcW w:w="1116"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煤炭开采审批</w:t>
            </w:r>
          </w:p>
        </w:tc>
        <w:tc>
          <w:tcPr>
            <w:tcW w:w="1673"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自然资源部、省自然资源厅</w:t>
            </w:r>
          </w:p>
        </w:tc>
        <w:tc>
          <w:tcPr>
            <w:tcW w:w="5002"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《矿产资源法》</w:t>
            </w:r>
          </w:p>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《矿产资源开采登记管理办法》（国务院令第241号）</w:t>
            </w:r>
          </w:p>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《关于规范勘查许可证采矿许可证权限有关问题的通知》（国土资发〔2005〕200号）</w:t>
            </w:r>
          </w:p>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《国务院关于取消和调整一批行政审批项目等事项的决定》（国发〔2014〕27号）</w:t>
            </w:r>
          </w:p>
        </w:tc>
        <w:tc>
          <w:tcPr>
            <w:tcW w:w="1261" w:type="dxa"/>
            <w:tcBorders>
              <w:top w:val="nil"/>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sz w:val="18"/>
                <w:szCs w:val="18"/>
              </w:rPr>
            </w:pPr>
            <w:r>
              <w:rPr>
                <w:rFonts w:hint="eastAsia"/>
                <w:sz w:val="18"/>
                <w:szCs w:val="18"/>
              </w:rPr>
              <w:t>煤炭开采</w:t>
            </w:r>
          </w:p>
        </w:tc>
      </w:tr>
      <w:tr>
        <w:tblPrEx>
          <w:tblCellMar>
            <w:top w:w="0" w:type="dxa"/>
            <w:left w:w="108" w:type="dxa"/>
            <w:bottom w:w="0" w:type="dxa"/>
            <w:right w:w="108" w:type="dxa"/>
          </w:tblCellMar>
        </w:tblPrEx>
        <w:trPr>
          <w:cantSplit/>
          <w:trHeight w:val="1806" w:hRule="atLeast"/>
          <w:jc w:val="center"/>
        </w:trPr>
        <w:tc>
          <w:tcPr>
            <w:tcW w:w="756" w:type="dxa"/>
            <w:tcBorders>
              <w:top w:val="nil"/>
              <w:left w:val="single" w:color="auto" w:sz="4" w:space="0"/>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kern w:val="0"/>
                <w:sz w:val="18"/>
                <w:szCs w:val="18"/>
              </w:rPr>
            </w:pPr>
            <w:r>
              <w:rPr>
                <w:rFonts w:hint="eastAsia" w:ascii="宋体" w:hAnsi="宋体" w:eastAsia="宋体" w:cs="宋体"/>
                <w:kern w:val="0"/>
                <w:sz w:val="18"/>
                <w:szCs w:val="18"/>
              </w:rPr>
              <w:t>29</w:t>
            </w:r>
          </w:p>
        </w:tc>
        <w:tc>
          <w:tcPr>
            <w:tcW w:w="1116"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开采矿产资源审批（包括非煤矿山采矿、开采矿盐开办制盐企业采矿、开采黄金矿产等）</w:t>
            </w:r>
          </w:p>
        </w:tc>
        <w:tc>
          <w:tcPr>
            <w:tcW w:w="1673"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自然资源部、省、设区市、县（市、区）自然资源部门</w:t>
            </w:r>
          </w:p>
        </w:tc>
        <w:tc>
          <w:tcPr>
            <w:tcW w:w="5002"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《矿产资源法》</w:t>
            </w:r>
          </w:p>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《矿产资源开采登记管理办法》（国务院令第241号）</w:t>
            </w:r>
          </w:p>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 xml:space="preserve">《关于规范勘查许可证采矿许可证权限有关问题的通知》（国土资发〔2005〕200号）                                                                              《国务院关于取消和调整一批行政审批项目等事项的决定》（国发〔2014〕27号）                                                                                                  </w:t>
            </w:r>
          </w:p>
        </w:tc>
        <w:tc>
          <w:tcPr>
            <w:tcW w:w="1261" w:type="dxa"/>
            <w:tcBorders>
              <w:top w:val="nil"/>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sz w:val="18"/>
                <w:szCs w:val="18"/>
              </w:rPr>
            </w:pPr>
            <w:r>
              <w:rPr>
                <w:rFonts w:hint="eastAsia"/>
                <w:sz w:val="18"/>
                <w:szCs w:val="18"/>
              </w:rPr>
              <w:t>矿产资源开采</w:t>
            </w:r>
          </w:p>
        </w:tc>
      </w:tr>
      <w:tr>
        <w:tblPrEx>
          <w:tblCellMar>
            <w:top w:w="0" w:type="dxa"/>
            <w:left w:w="108" w:type="dxa"/>
            <w:bottom w:w="0" w:type="dxa"/>
            <w:right w:w="108" w:type="dxa"/>
          </w:tblCellMar>
        </w:tblPrEx>
        <w:trPr>
          <w:cantSplit/>
          <w:trHeight w:val="914" w:hRule="atLeast"/>
          <w:jc w:val="center"/>
        </w:trPr>
        <w:tc>
          <w:tcPr>
            <w:tcW w:w="756" w:type="dxa"/>
            <w:tcBorders>
              <w:top w:val="nil"/>
              <w:left w:val="single" w:color="auto" w:sz="4" w:space="0"/>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kern w:val="0"/>
                <w:sz w:val="18"/>
                <w:szCs w:val="18"/>
              </w:rPr>
            </w:pPr>
            <w:r>
              <w:rPr>
                <w:rFonts w:hint="eastAsia" w:ascii="宋体" w:hAnsi="宋体" w:eastAsia="宋体" w:cs="宋体"/>
                <w:kern w:val="0"/>
                <w:sz w:val="18"/>
                <w:szCs w:val="18"/>
              </w:rPr>
              <w:t>30</w:t>
            </w:r>
          </w:p>
        </w:tc>
        <w:tc>
          <w:tcPr>
            <w:tcW w:w="1116"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地质灾害危险性评估单位资质认定</w:t>
            </w:r>
          </w:p>
        </w:tc>
        <w:tc>
          <w:tcPr>
            <w:tcW w:w="1673"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自然资源部、省自然资源厅</w:t>
            </w:r>
          </w:p>
        </w:tc>
        <w:tc>
          <w:tcPr>
            <w:tcW w:w="5002"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《地质灾害防治条例》（国务院令第394号）</w:t>
            </w:r>
          </w:p>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《地质灾害危险性评估单位资质管理办法》（国土资源部令第29号）</w:t>
            </w:r>
          </w:p>
        </w:tc>
        <w:tc>
          <w:tcPr>
            <w:tcW w:w="1261" w:type="dxa"/>
            <w:tcBorders>
              <w:top w:val="nil"/>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sz w:val="18"/>
                <w:szCs w:val="18"/>
              </w:rPr>
            </w:pPr>
            <w:r>
              <w:rPr>
                <w:rFonts w:hint="eastAsia"/>
                <w:sz w:val="18"/>
                <w:szCs w:val="18"/>
              </w:rPr>
              <w:t>地质灾害</w:t>
            </w:r>
          </w:p>
        </w:tc>
      </w:tr>
      <w:tr>
        <w:tblPrEx>
          <w:tblCellMar>
            <w:top w:w="0" w:type="dxa"/>
            <w:left w:w="108" w:type="dxa"/>
            <w:bottom w:w="0" w:type="dxa"/>
            <w:right w:w="108" w:type="dxa"/>
          </w:tblCellMar>
        </w:tblPrEx>
        <w:trPr>
          <w:cantSplit/>
          <w:trHeight w:val="1499" w:hRule="atLeast"/>
          <w:jc w:val="center"/>
        </w:trPr>
        <w:tc>
          <w:tcPr>
            <w:tcW w:w="756" w:type="dxa"/>
            <w:tcBorders>
              <w:top w:val="nil"/>
              <w:left w:val="single" w:color="auto" w:sz="4" w:space="0"/>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kern w:val="0"/>
                <w:sz w:val="18"/>
                <w:szCs w:val="18"/>
              </w:rPr>
            </w:pPr>
            <w:r>
              <w:rPr>
                <w:rFonts w:hint="eastAsia" w:ascii="宋体" w:hAnsi="宋体" w:eastAsia="宋体" w:cs="宋体"/>
                <w:kern w:val="0"/>
                <w:sz w:val="18"/>
                <w:szCs w:val="18"/>
              </w:rPr>
              <w:t>31</w:t>
            </w:r>
          </w:p>
        </w:tc>
        <w:tc>
          <w:tcPr>
            <w:tcW w:w="1116"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地质灾害治理工程勘查、设计、施工、监理单位资质认定</w:t>
            </w:r>
          </w:p>
        </w:tc>
        <w:tc>
          <w:tcPr>
            <w:tcW w:w="1673"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自然资源部、省自然资源厅</w:t>
            </w:r>
          </w:p>
        </w:tc>
        <w:tc>
          <w:tcPr>
            <w:tcW w:w="5002"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《地质灾害防治条例》（国务院令第394号）</w:t>
            </w:r>
          </w:p>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《地质灾害治理工程勘查设计施工单位资质管理办法》（国土资源部令第30号）</w:t>
            </w:r>
          </w:p>
        </w:tc>
        <w:tc>
          <w:tcPr>
            <w:tcW w:w="1261" w:type="dxa"/>
            <w:tcBorders>
              <w:top w:val="nil"/>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sz w:val="18"/>
                <w:szCs w:val="18"/>
              </w:rPr>
            </w:pPr>
            <w:r>
              <w:rPr>
                <w:rFonts w:hint="eastAsia"/>
                <w:sz w:val="18"/>
                <w:szCs w:val="18"/>
              </w:rPr>
              <w:t>地质灾害</w:t>
            </w:r>
          </w:p>
        </w:tc>
      </w:tr>
      <w:tr>
        <w:tblPrEx>
          <w:tblCellMar>
            <w:top w:w="0" w:type="dxa"/>
            <w:left w:w="108" w:type="dxa"/>
            <w:bottom w:w="0" w:type="dxa"/>
            <w:right w:w="108" w:type="dxa"/>
          </w:tblCellMar>
        </w:tblPrEx>
        <w:trPr>
          <w:cantSplit/>
          <w:trHeight w:val="408" w:hRule="atLeast"/>
          <w:jc w:val="center"/>
        </w:trPr>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b/>
                <w:bCs/>
                <w:kern w:val="0"/>
                <w:sz w:val="18"/>
                <w:szCs w:val="18"/>
              </w:rPr>
            </w:pPr>
            <w:r>
              <w:rPr>
                <w:rFonts w:hint="eastAsia" w:ascii="宋体" w:hAnsi="宋体" w:eastAsia="宋体" w:cs="宋体"/>
                <w:b/>
                <w:bCs/>
                <w:kern w:val="0"/>
                <w:sz w:val="18"/>
                <w:szCs w:val="18"/>
              </w:rPr>
              <w:t>序号</w:t>
            </w:r>
          </w:p>
        </w:tc>
        <w:tc>
          <w:tcPr>
            <w:tcW w:w="1116"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b/>
                <w:bCs/>
                <w:kern w:val="0"/>
                <w:sz w:val="18"/>
                <w:szCs w:val="18"/>
              </w:rPr>
            </w:pPr>
            <w:r>
              <w:rPr>
                <w:rFonts w:hint="eastAsia" w:ascii="宋体" w:hAnsi="宋体" w:eastAsia="宋体" w:cs="宋体"/>
                <w:b/>
                <w:bCs/>
                <w:kern w:val="0"/>
                <w:sz w:val="18"/>
                <w:szCs w:val="18"/>
              </w:rPr>
              <w:t>项目名称</w:t>
            </w:r>
          </w:p>
        </w:tc>
        <w:tc>
          <w:tcPr>
            <w:tcW w:w="1673"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b/>
                <w:bCs/>
                <w:kern w:val="0"/>
                <w:sz w:val="18"/>
                <w:szCs w:val="18"/>
              </w:rPr>
            </w:pPr>
            <w:r>
              <w:rPr>
                <w:rFonts w:hint="eastAsia" w:ascii="宋体" w:hAnsi="宋体" w:eastAsia="宋体" w:cs="宋体"/>
                <w:b/>
                <w:bCs/>
                <w:kern w:val="0"/>
                <w:sz w:val="18"/>
                <w:szCs w:val="18"/>
              </w:rPr>
              <w:t>实施机关</w:t>
            </w:r>
          </w:p>
        </w:tc>
        <w:tc>
          <w:tcPr>
            <w:tcW w:w="5002"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b/>
                <w:bCs/>
                <w:kern w:val="0"/>
                <w:sz w:val="18"/>
                <w:szCs w:val="18"/>
              </w:rPr>
            </w:pPr>
            <w:r>
              <w:rPr>
                <w:rFonts w:hint="eastAsia" w:ascii="宋体" w:hAnsi="宋体" w:eastAsia="宋体" w:cs="宋体"/>
                <w:b/>
                <w:bCs/>
                <w:kern w:val="0"/>
                <w:sz w:val="18"/>
                <w:szCs w:val="18"/>
              </w:rPr>
              <w:t xml:space="preserve">设定依据                                                                                         </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b/>
                <w:bCs/>
                <w:kern w:val="0"/>
                <w:sz w:val="18"/>
                <w:szCs w:val="18"/>
              </w:rPr>
            </w:pPr>
            <w:r>
              <w:rPr>
                <w:rFonts w:hint="eastAsia" w:ascii="宋体" w:hAnsi="宋体" w:eastAsia="宋体" w:cs="宋体"/>
                <w:b/>
                <w:bCs/>
                <w:kern w:val="0"/>
                <w:sz w:val="18"/>
                <w:szCs w:val="18"/>
              </w:rPr>
              <w:t>检索关键词</w:t>
            </w:r>
          </w:p>
        </w:tc>
      </w:tr>
      <w:tr>
        <w:tblPrEx>
          <w:tblCellMar>
            <w:top w:w="0" w:type="dxa"/>
            <w:left w:w="108" w:type="dxa"/>
            <w:bottom w:w="0" w:type="dxa"/>
            <w:right w:w="108" w:type="dxa"/>
          </w:tblCellMar>
        </w:tblPrEx>
        <w:trPr>
          <w:cantSplit/>
          <w:trHeight w:val="675" w:hRule="atLeast"/>
          <w:jc w:val="center"/>
        </w:trPr>
        <w:tc>
          <w:tcPr>
            <w:tcW w:w="756" w:type="dxa"/>
            <w:tcBorders>
              <w:top w:val="nil"/>
              <w:left w:val="single" w:color="auto" w:sz="4" w:space="0"/>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kern w:val="0"/>
                <w:sz w:val="18"/>
                <w:szCs w:val="18"/>
              </w:rPr>
            </w:pPr>
            <w:r>
              <w:rPr>
                <w:rFonts w:hint="eastAsia" w:ascii="宋体" w:hAnsi="宋体" w:eastAsia="宋体" w:cs="宋体"/>
                <w:kern w:val="0"/>
                <w:sz w:val="18"/>
                <w:szCs w:val="18"/>
              </w:rPr>
              <w:t>32</w:t>
            </w:r>
          </w:p>
        </w:tc>
        <w:tc>
          <w:tcPr>
            <w:tcW w:w="1116"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勘查矿产资源审批</w:t>
            </w:r>
          </w:p>
        </w:tc>
        <w:tc>
          <w:tcPr>
            <w:tcW w:w="1673"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自然资源部、省自然资源厅</w:t>
            </w:r>
          </w:p>
        </w:tc>
        <w:tc>
          <w:tcPr>
            <w:tcW w:w="5002"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《矿产资源法》</w:t>
            </w:r>
          </w:p>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《矿产资源勘查区块登记管理办法》（国务院令第240号）</w:t>
            </w:r>
          </w:p>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 xml:space="preserve">《探矿权采矿权转让管理办法》（国务院令第242号）                                                                                                                                </w:t>
            </w:r>
          </w:p>
        </w:tc>
        <w:tc>
          <w:tcPr>
            <w:tcW w:w="1261" w:type="dxa"/>
            <w:tcBorders>
              <w:top w:val="nil"/>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sz w:val="18"/>
                <w:szCs w:val="18"/>
              </w:rPr>
            </w:pPr>
            <w:r>
              <w:rPr>
                <w:rFonts w:hint="eastAsia"/>
                <w:sz w:val="18"/>
                <w:szCs w:val="18"/>
              </w:rPr>
              <w:t>矿产资源勘查</w:t>
            </w:r>
          </w:p>
        </w:tc>
      </w:tr>
      <w:tr>
        <w:tblPrEx>
          <w:tblCellMar>
            <w:top w:w="0" w:type="dxa"/>
            <w:left w:w="108" w:type="dxa"/>
            <w:bottom w:w="0" w:type="dxa"/>
            <w:right w:w="108" w:type="dxa"/>
          </w:tblCellMar>
        </w:tblPrEx>
        <w:trPr>
          <w:cantSplit/>
          <w:trHeight w:val="698" w:hRule="atLeast"/>
          <w:jc w:val="center"/>
        </w:trPr>
        <w:tc>
          <w:tcPr>
            <w:tcW w:w="756" w:type="dxa"/>
            <w:tcBorders>
              <w:top w:val="nil"/>
              <w:left w:val="single" w:color="auto" w:sz="4" w:space="0"/>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kern w:val="0"/>
                <w:sz w:val="18"/>
                <w:szCs w:val="18"/>
              </w:rPr>
            </w:pPr>
            <w:r>
              <w:rPr>
                <w:rFonts w:hint="eastAsia" w:ascii="宋体" w:hAnsi="宋体" w:eastAsia="宋体" w:cs="宋体"/>
                <w:kern w:val="0"/>
                <w:sz w:val="18"/>
                <w:szCs w:val="18"/>
              </w:rPr>
              <w:t>33</w:t>
            </w:r>
          </w:p>
        </w:tc>
        <w:tc>
          <w:tcPr>
            <w:tcW w:w="1116" w:type="dxa"/>
            <w:tcBorders>
              <w:top w:val="nil"/>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从事测绘活动单位资质审批</w:t>
            </w:r>
          </w:p>
        </w:tc>
        <w:tc>
          <w:tcPr>
            <w:tcW w:w="1673" w:type="dxa"/>
            <w:tcBorders>
              <w:top w:val="nil"/>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自然资源部、省自然资源厅</w:t>
            </w:r>
          </w:p>
        </w:tc>
        <w:tc>
          <w:tcPr>
            <w:tcW w:w="5002" w:type="dxa"/>
            <w:tcBorders>
              <w:top w:val="nil"/>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《测绘法》</w:t>
            </w:r>
          </w:p>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《辽宁省测绘条例》</w:t>
            </w:r>
          </w:p>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《国务院关于取消和调整一批行政审批项目等事项的决定》（国发〔2014〕50号）</w:t>
            </w:r>
          </w:p>
        </w:tc>
        <w:tc>
          <w:tcPr>
            <w:tcW w:w="1261" w:type="dxa"/>
            <w:tcBorders>
              <w:top w:val="nil"/>
              <w:left w:val="nil"/>
              <w:bottom w:val="single" w:color="auto" w:sz="4" w:space="0"/>
              <w:right w:val="single" w:color="auto" w:sz="4" w:space="0"/>
            </w:tcBorders>
            <w:shd w:val="clear" w:color="000000" w:fill="FFFFFF"/>
            <w:vAlign w:val="center"/>
          </w:tcPr>
          <w:p>
            <w:pPr>
              <w:spacing w:line="180" w:lineRule="exact"/>
              <w:rPr>
                <w:rFonts w:ascii="宋体" w:hAnsi="宋体" w:eastAsia="宋体" w:cs="宋体"/>
                <w:sz w:val="18"/>
                <w:szCs w:val="18"/>
              </w:rPr>
            </w:pPr>
            <w:r>
              <w:rPr>
                <w:rFonts w:hint="eastAsia"/>
                <w:sz w:val="18"/>
                <w:szCs w:val="18"/>
              </w:rPr>
              <w:t>测绘</w:t>
            </w:r>
          </w:p>
        </w:tc>
      </w:tr>
      <w:tr>
        <w:tblPrEx>
          <w:tblCellMar>
            <w:top w:w="0" w:type="dxa"/>
            <w:left w:w="108" w:type="dxa"/>
            <w:bottom w:w="0" w:type="dxa"/>
            <w:right w:w="108" w:type="dxa"/>
          </w:tblCellMar>
        </w:tblPrEx>
        <w:trPr>
          <w:cantSplit/>
          <w:trHeight w:val="1751" w:hRule="atLeast"/>
          <w:jc w:val="center"/>
        </w:trPr>
        <w:tc>
          <w:tcPr>
            <w:tcW w:w="756" w:type="dxa"/>
            <w:tcBorders>
              <w:top w:val="nil"/>
              <w:left w:val="single" w:color="auto" w:sz="4" w:space="0"/>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kern w:val="0"/>
                <w:sz w:val="18"/>
                <w:szCs w:val="18"/>
              </w:rPr>
            </w:pPr>
            <w:r>
              <w:rPr>
                <w:rFonts w:hint="eastAsia" w:ascii="宋体" w:hAnsi="宋体" w:eastAsia="宋体" w:cs="宋体"/>
                <w:kern w:val="0"/>
                <w:sz w:val="18"/>
                <w:szCs w:val="18"/>
              </w:rPr>
              <w:t>34</w:t>
            </w:r>
          </w:p>
        </w:tc>
        <w:tc>
          <w:tcPr>
            <w:tcW w:w="1116" w:type="dxa"/>
            <w:tcBorders>
              <w:top w:val="nil"/>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主要商品草种生产许可证核发，主要草种杂交种子及其亲本种子、常规原种种子草种经营许可证核发</w:t>
            </w:r>
          </w:p>
        </w:tc>
        <w:tc>
          <w:tcPr>
            <w:tcW w:w="1673" w:type="dxa"/>
            <w:tcBorders>
              <w:top w:val="nil"/>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省林业和草原局</w:t>
            </w:r>
          </w:p>
        </w:tc>
        <w:tc>
          <w:tcPr>
            <w:tcW w:w="5002" w:type="dxa"/>
            <w:tcBorders>
              <w:top w:val="nil"/>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《种子法》</w:t>
            </w:r>
          </w:p>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《辽宁省草原管理实施办法》(省政府令第231号)</w:t>
            </w:r>
          </w:p>
        </w:tc>
        <w:tc>
          <w:tcPr>
            <w:tcW w:w="1261" w:type="dxa"/>
            <w:tcBorders>
              <w:top w:val="nil"/>
              <w:left w:val="nil"/>
              <w:bottom w:val="single" w:color="auto" w:sz="4" w:space="0"/>
              <w:right w:val="single" w:color="auto" w:sz="4" w:space="0"/>
            </w:tcBorders>
            <w:shd w:val="clear" w:color="000000" w:fill="FFFFFF"/>
            <w:vAlign w:val="center"/>
          </w:tcPr>
          <w:p>
            <w:pPr>
              <w:spacing w:line="180" w:lineRule="exact"/>
              <w:rPr>
                <w:rFonts w:ascii="宋体" w:hAnsi="宋体" w:eastAsia="宋体" w:cs="宋体"/>
                <w:sz w:val="18"/>
                <w:szCs w:val="18"/>
              </w:rPr>
            </w:pPr>
            <w:r>
              <w:rPr>
                <w:rFonts w:hint="eastAsia"/>
                <w:sz w:val="18"/>
                <w:szCs w:val="18"/>
              </w:rPr>
              <w:t>草种</w:t>
            </w:r>
          </w:p>
        </w:tc>
      </w:tr>
      <w:tr>
        <w:tblPrEx>
          <w:tblCellMar>
            <w:top w:w="0" w:type="dxa"/>
            <w:left w:w="108" w:type="dxa"/>
            <w:bottom w:w="0" w:type="dxa"/>
            <w:right w:w="108" w:type="dxa"/>
          </w:tblCellMar>
        </w:tblPrEx>
        <w:trPr>
          <w:cantSplit/>
          <w:trHeight w:val="978" w:hRule="atLeast"/>
          <w:jc w:val="center"/>
        </w:trPr>
        <w:tc>
          <w:tcPr>
            <w:tcW w:w="756" w:type="dxa"/>
            <w:tcBorders>
              <w:top w:val="nil"/>
              <w:left w:val="single" w:color="auto" w:sz="4" w:space="0"/>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kern w:val="0"/>
                <w:sz w:val="18"/>
                <w:szCs w:val="18"/>
              </w:rPr>
            </w:pPr>
            <w:r>
              <w:rPr>
                <w:rFonts w:hint="eastAsia" w:ascii="宋体" w:hAnsi="宋体" w:eastAsia="宋体" w:cs="宋体"/>
                <w:kern w:val="0"/>
                <w:sz w:val="18"/>
                <w:szCs w:val="18"/>
              </w:rPr>
              <w:t>35</w:t>
            </w:r>
          </w:p>
        </w:tc>
        <w:tc>
          <w:tcPr>
            <w:tcW w:w="1116" w:type="dxa"/>
            <w:tcBorders>
              <w:top w:val="nil"/>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主要林木种子（含园林绿化草种）生产经营许可证核发</w:t>
            </w:r>
          </w:p>
        </w:tc>
        <w:tc>
          <w:tcPr>
            <w:tcW w:w="1673" w:type="dxa"/>
            <w:tcBorders>
              <w:top w:val="nil"/>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省、设区市、县（市、区）林业部门</w:t>
            </w:r>
          </w:p>
        </w:tc>
        <w:tc>
          <w:tcPr>
            <w:tcW w:w="5002" w:type="dxa"/>
            <w:tcBorders>
              <w:top w:val="nil"/>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《种子法》</w:t>
            </w:r>
          </w:p>
        </w:tc>
        <w:tc>
          <w:tcPr>
            <w:tcW w:w="1261" w:type="dxa"/>
            <w:tcBorders>
              <w:top w:val="nil"/>
              <w:left w:val="nil"/>
              <w:bottom w:val="single" w:color="auto" w:sz="4" w:space="0"/>
              <w:right w:val="single" w:color="auto" w:sz="4" w:space="0"/>
            </w:tcBorders>
            <w:shd w:val="clear" w:color="000000" w:fill="FFFFFF"/>
            <w:vAlign w:val="center"/>
          </w:tcPr>
          <w:p>
            <w:pPr>
              <w:spacing w:line="180" w:lineRule="exact"/>
              <w:rPr>
                <w:rFonts w:ascii="宋体" w:hAnsi="宋体" w:eastAsia="宋体" w:cs="宋体"/>
                <w:sz w:val="18"/>
                <w:szCs w:val="18"/>
              </w:rPr>
            </w:pPr>
            <w:r>
              <w:rPr>
                <w:rFonts w:hint="eastAsia"/>
                <w:sz w:val="18"/>
                <w:szCs w:val="18"/>
              </w:rPr>
              <w:t>林木种子</w:t>
            </w:r>
          </w:p>
        </w:tc>
      </w:tr>
      <w:tr>
        <w:tblPrEx>
          <w:tblCellMar>
            <w:top w:w="0" w:type="dxa"/>
            <w:left w:w="108" w:type="dxa"/>
            <w:bottom w:w="0" w:type="dxa"/>
            <w:right w:w="108" w:type="dxa"/>
          </w:tblCellMar>
        </w:tblPrEx>
        <w:trPr>
          <w:cantSplit/>
          <w:trHeight w:val="408" w:hRule="atLeast"/>
          <w:jc w:val="center"/>
        </w:trPr>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b/>
                <w:bCs/>
                <w:kern w:val="0"/>
                <w:sz w:val="18"/>
                <w:szCs w:val="18"/>
              </w:rPr>
            </w:pPr>
            <w:r>
              <w:rPr>
                <w:rFonts w:hint="eastAsia" w:ascii="宋体" w:hAnsi="宋体" w:eastAsia="宋体" w:cs="宋体"/>
                <w:kern w:val="0"/>
                <w:sz w:val="18"/>
                <w:szCs w:val="18"/>
              </w:rPr>
              <w:t>36</w:t>
            </w:r>
          </w:p>
        </w:tc>
        <w:tc>
          <w:tcPr>
            <w:tcW w:w="1116"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b/>
                <w:bCs/>
                <w:kern w:val="0"/>
                <w:sz w:val="18"/>
                <w:szCs w:val="18"/>
              </w:rPr>
            </w:pPr>
            <w:r>
              <w:rPr>
                <w:rFonts w:hint="eastAsia" w:ascii="宋体" w:hAnsi="宋体" w:eastAsia="宋体" w:cs="宋体"/>
                <w:kern w:val="0"/>
                <w:sz w:val="18"/>
                <w:szCs w:val="18"/>
              </w:rPr>
              <w:t>林木采伐许可</w:t>
            </w:r>
          </w:p>
        </w:tc>
        <w:tc>
          <w:tcPr>
            <w:tcW w:w="1673"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b/>
                <w:bCs/>
                <w:kern w:val="0"/>
                <w:sz w:val="18"/>
                <w:szCs w:val="18"/>
              </w:rPr>
            </w:pPr>
            <w:r>
              <w:rPr>
                <w:rFonts w:hint="eastAsia" w:ascii="宋体" w:hAnsi="宋体" w:eastAsia="宋体" w:cs="宋体"/>
                <w:kern w:val="0"/>
                <w:sz w:val="18"/>
                <w:szCs w:val="18"/>
              </w:rPr>
              <w:t>省、设区市、县（市、区）林业部门</w:t>
            </w:r>
          </w:p>
        </w:tc>
        <w:tc>
          <w:tcPr>
            <w:tcW w:w="5002"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《森林法》</w:t>
            </w:r>
          </w:p>
          <w:p>
            <w:pPr>
              <w:widowControl/>
              <w:spacing w:line="220" w:lineRule="exact"/>
              <w:jc w:val="left"/>
              <w:rPr>
                <w:rFonts w:ascii="宋体" w:hAnsi="宋体" w:eastAsia="宋体" w:cs="宋体"/>
                <w:b/>
                <w:bCs/>
                <w:kern w:val="0"/>
                <w:sz w:val="18"/>
                <w:szCs w:val="18"/>
              </w:rPr>
            </w:pPr>
            <w:r>
              <w:rPr>
                <w:rFonts w:hint="eastAsia" w:ascii="宋体" w:hAnsi="宋体" w:eastAsia="宋体" w:cs="宋体"/>
                <w:kern w:val="0"/>
                <w:sz w:val="18"/>
                <w:szCs w:val="18"/>
              </w:rPr>
              <w:t>《森林法实施条例》(国务院令第278号）</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220" w:lineRule="exact"/>
              <w:jc w:val="left"/>
              <w:rPr>
                <w:rFonts w:ascii="宋体" w:hAnsi="宋体" w:eastAsia="宋体" w:cs="宋体"/>
                <w:sz w:val="18"/>
                <w:szCs w:val="18"/>
              </w:rPr>
            </w:pPr>
            <w:r>
              <w:rPr>
                <w:rFonts w:hint="eastAsia"/>
                <w:sz w:val="18"/>
                <w:szCs w:val="18"/>
              </w:rPr>
              <w:t>林木采伐</w:t>
            </w:r>
          </w:p>
        </w:tc>
      </w:tr>
      <w:tr>
        <w:tblPrEx>
          <w:tblCellMar>
            <w:top w:w="0" w:type="dxa"/>
            <w:left w:w="108" w:type="dxa"/>
            <w:bottom w:w="0" w:type="dxa"/>
            <w:right w:w="108" w:type="dxa"/>
          </w:tblCellMar>
        </w:tblPrEx>
        <w:trPr>
          <w:cantSplit/>
          <w:trHeight w:val="1133" w:hRule="atLeast"/>
          <w:jc w:val="center"/>
        </w:trPr>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kern w:val="0"/>
                <w:sz w:val="18"/>
                <w:szCs w:val="18"/>
              </w:rPr>
            </w:pPr>
            <w:r>
              <w:rPr>
                <w:rFonts w:hint="eastAsia" w:ascii="宋体" w:hAnsi="宋体" w:eastAsia="宋体" w:cs="宋体"/>
                <w:kern w:val="0"/>
                <w:sz w:val="18"/>
                <w:szCs w:val="18"/>
              </w:rPr>
              <w:t>37</w:t>
            </w:r>
          </w:p>
        </w:tc>
        <w:tc>
          <w:tcPr>
            <w:tcW w:w="1116"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b/>
                <w:bCs/>
                <w:kern w:val="0"/>
                <w:sz w:val="18"/>
                <w:szCs w:val="18"/>
              </w:rPr>
            </w:pPr>
            <w:r>
              <w:rPr>
                <w:rFonts w:hint="eastAsia" w:ascii="宋体" w:hAnsi="宋体" w:eastAsia="宋体" w:cs="宋体"/>
                <w:kern w:val="0"/>
                <w:sz w:val="18"/>
                <w:szCs w:val="18"/>
              </w:rPr>
              <w:t>国家和省重点保护陆生野生动物驯养繁殖许可证核发</w:t>
            </w:r>
          </w:p>
        </w:tc>
        <w:tc>
          <w:tcPr>
            <w:tcW w:w="1673"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b/>
                <w:bCs/>
                <w:kern w:val="0"/>
                <w:sz w:val="18"/>
                <w:szCs w:val="18"/>
              </w:rPr>
            </w:pPr>
            <w:r>
              <w:rPr>
                <w:rFonts w:hint="eastAsia" w:ascii="宋体" w:hAnsi="宋体" w:eastAsia="宋体" w:cs="宋体"/>
                <w:kern w:val="0"/>
                <w:sz w:val="18"/>
                <w:szCs w:val="18"/>
              </w:rPr>
              <w:t>国家林业和草原局、省、县（市、区林业部门</w:t>
            </w:r>
          </w:p>
        </w:tc>
        <w:tc>
          <w:tcPr>
            <w:tcW w:w="5002"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《野生动物保护法》</w:t>
            </w:r>
          </w:p>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《陆生野生动物保护实施条例》（1992年2月12日国务院批准,1992年3月1日林业部发布）</w:t>
            </w:r>
          </w:p>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《国家重点保护野生动物驯养繁殖许可证管理办法》（林策字〔1991〕6号）</w:t>
            </w:r>
          </w:p>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《辽宁省实施〈中华人民共和国野生动物保护法〉办法》</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b/>
                <w:bCs/>
                <w:kern w:val="0"/>
                <w:sz w:val="18"/>
                <w:szCs w:val="18"/>
              </w:rPr>
            </w:pPr>
            <w:r>
              <w:rPr>
                <w:rFonts w:hint="eastAsia"/>
                <w:sz w:val="18"/>
                <w:szCs w:val="18"/>
              </w:rPr>
              <w:t>野生动物               驯养繁殖</w:t>
            </w:r>
          </w:p>
        </w:tc>
      </w:tr>
      <w:tr>
        <w:tblPrEx>
          <w:tblCellMar>
            <w:top w:w="0" w:type="dxa"/>
            <w:left w:w="108" w:type="dxa"/>
            <w:bottom w:w="0" w:type="dxa"/>
            <w:right w:w="108" w:type="dxa"/>
          </w:tblCellMar>
        </w:tblPrEx>
        <w:trPr>
          <w:cantSplit/>
          <w:trHeight w:val="1267" w:hRule="atLeast"/>
          <w:jc w:val="center"/>
        </w:trPr>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kern w:val="0"/>
                <w:sz w:val="18"/>
                <w:szCs w:val="18"/>
              </w:rPr>
            </w:pPr>
            <w:r>
              <w:rPr>
                <w:rFonts w:hint="eastAsia" w:ascii="宋体" w:hAnsi="宋体" w:eastAsia="宋体" w:cs="宋体"/>
                <w:kern w:val="0"/>
                <w:sz w:val="18"/>
                <w:szCs w:val="18"/>
              </w:rPr>
              <w:t>38</w:t>
            </w:r>
          </w:p>
        </w:tc>
        <w:tc>
          <w:tcPr>
            <w:tcW w:w="1116"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国家和省重点保护陆生野生动物或者其产品出售、收购利用许可</w:t>
            </w:r>
          </w:p>
        </w:tc>
        <w:tc>
          <w:tcPr>
            <w:tcW w:w="1673"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国家林业和草原局、省、设区市林业部门</w:t>
            </w:r>
          </w:p>
        </w:tc>
        <w:tc>
          <w:tcPr>
            <w:tcW w:w="5002"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《野生动物保护法》</w:t>
            </w:r>
          </w:p>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《辽宁省实施〈中华人民共和国野生动物保护法〉办法》</w:t>
            </w:r>
          </w:p>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《国家林业局公告》（2013年第12号）</w:t>
            </w:r>
          </w:p>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《辽宁省人民政府关于取消和下放一批行政职权的决定》（辽政发〔2013〕21号）</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180" w:lineRule="exact"/>
              <w:rPr>
                <w:rFonts w:ascii="宋体" w:hAnsi="宋体" w:eastAsia="宋体" w:cs="宋体"/>
                <w:sz w:val="18"/>
                <w:szCs w:val="18"/>
              </w:rPr>
            </w:pPr>
            <w:r>
              <w:rPr>
                <w:rFonts w:hint="eastAsia"/>
                <w:sz w:val="18"/>
                <w:szCs w:val="18"/>
              </w:rPr>
              <w:t>野生动物               经营利用</w:t>
            </w:r>
          </w:p>
        </w:tc>
      </w:tr>
      <w:tr>
        <w:tblPrEx>
          <w:tblCellMar>
            <w:top w:w="0" w:type="dxa"/>
            <w:left w:w="108" w:type="dxa"/>
            <w:bottom w:w="0" w:type="dxa"/>
            <w:right w:w="108" w:type="dxa"/>
          </w:tblCellMar>
        </w:tblPrEx>
        <w:trPr>
          <w:cantSplit/>
          <w:trHeight w:val="903" w:hRule="atLeast"/>
          <w:jc w:val="center"/>
        </w:trPr>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kern w:val="0"/>
                <w:sz w:val="18"/>
                <w:szCs w:val="18"/>
              </w:rPr>
            </w:pPr>
            <w:r>
              <w:rPr>
                <w:rFonts w:hint="eastAsia" w:ascii="宋体" w:hAnsi="宋体" w:eastAsia="宋体" w:cs="宋体"/>
                <w:kern w:val="0"/>
                <w:sz w:val="18"/>
                <w:szCs w:val="18"/>
              </w:rPr>
              <w:t>39</w:t>
            </w:r>
          </w:p>
        </w:tc>
        <w:tc>
          <w:tcPr>
            <w:tcW w:w="1116"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采集国家一级保护野生植物审批</w:t>
            </w:r>
          </w:p>
        </w:tc>
        <w:tc>
          <w:tcPr>
            <w:tcW w:w="1673"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国家林业和草原局</w:t>
            </w:r>
          </w:p>
        </w:tc>
        <w:tc>
          <w:tcPr>
            <w:tcW w:w="5002"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《野生植物保护条例》（国务院令第204号）</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180" w:lineRule="exact"/>
              <w:rPr>
                <w:rFonts w:ascii="宋体" w:hAnsi="宋体" w:eastAsia="宋体" w:cs="宋体"/>
                <w:sz w:val="18"/>
                <w:szCs w:val="18"/>
              </w:rPr>
            </w:pPr>
            <w:r>
              <w:rPr>
                <w:rFonts w:hint="eastAsia"/>
                <w:sz w:val="18"/>
                <w:szCs w:val="18"/>
              </w:rPr>
              <w:t xml:space="preserve">野生植物采集              </w:t>
            </w:r>
          </w:p>
        </w:tc>
      </w:tr>
      <w:tr>
        <w:tblPrEx>
          <w:tblCellMar>
            <w:top w:w="0" w:type="dxa"/>
            <w:left w:w="108" w:type="dxa"/>
            <w:bottom w:w="0" w:type="dxa"/>
            <w:right w:w="108" w:type="dxa"/>
          </w:tblCellMar>
        </w:tblPrEx>
        <w:trPr>
          <w:cantSplit/>
          <w:trHeight w:val="1607" w:hRule="atLeast"/>
          <w:jc w:val="center"/>
        </w:trPr>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kern w:val="0"/>
                <w:sz w:val="18"/>
                <w:szCs w:val="18"/>
              </w:rPr>
            </w:pPr>
            <w:r>
              <w:rPr>
                <w:rFonts w:hint="eastAsia" w:ascii="宋体" w:hAnsi="宋体" w:eastAsia="宋体" w:cs="宋体"/>
                <w:kern w:val="0"/>
                <w:sz w:val="18"/>
                <w:szCs w:val="18"/>
              </w:rPr>
              <w:t>40</w:t>
            </w:r>
          </w:p>
        </w:tc>
        <w:tc>
          <w:tcPr>
            <w:tcW w:w="1116"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危险废物经营许可</w:t>
            </w:r>
          </w:p>
        </w:tc>
        <w:tc>
          <w:tcPr>
            <w:tcW w:w="1673"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省、设区市、县（市、区）生态环境部门</w:t>
            </w:r>
          </w:p>
        </w:tc>
        <w:tc>
          <w:tcPr>
            <w:tcW w:w="5002"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《固体废物污染环境防治法》</w:t>
            </w:r>
          </w:p>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《危险废物经营许可证管理办法》（国务院令第408号）</w:t>
            </w:r>
          </w:p>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《国务院关于取消和下放一批行政审批项目的决定》（国发〔2013〕44号）</w:t>
            </w:r>
          </w:p>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《国务院关于取消和调整一批行政审批项目等事项的决定》（国发〔2014〕50号）</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180" w:lineRule="exact"/>
              <w:rPr>
                <w:rFonts w:ascii="宋体" w:hAnsi="宋体" w:eastAsia="宋体" w:cs="宋体"/>
                <w:sz w:val="18"/>
                <w:szCs w:val="18"/>
              </w:rPr>
            </w:pPr>
            <w:r>
              <w:rPr>
                <w:rFonts w:hint="eastAsia"/>
                <w:sz w:val="18"/>
                <w:szCs w:val="18"/>
              </w:rPr>
              <w:t>危险废物</w:t>
            </w:r>
          </w:p>
        </w:tc>
      </w:tr>
      <w:tr>
        <w:tblPrEx>
          <w:tblCellMar>
            <w:top w:w="0" w:type="dxa"/>
            <w:left w:w="108" w:type="dxa"/>
            <w:bottom w:w="0" w:type="dxa"/>
            <w:right w:w="108" w:type="dxa"/>
          </w:tblCellMar>
        </w:tblPrEx>
        <w:trPr>
          <w:cantSplit/>
          <w:trHeight w:val="888" w:hRule="atLeast"/>
          <w:jc w:val="center"/>
        </w:trPr>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bCs/>
                <w:kern w:val="0"/>
                <w:sz w:val="18"/>
                <w:szCs w:val="18"/>
              </w:rPr>
            </w:pPr>
            <w:r>
              <w:rPr>
                <w:rFonts w:hint="eastAsia" w:ascii="宋体" w:hAnsi="宋体" w:eastAsia="宋体" w:cs="宋体"/>
                <w:bCs/>
                <w:kern w:val="0"/>
                <w:sz w:val="18"/>
                <w:szCs w:val="18"/>
              </w:rPr>
              <w:t>41</w:t>
            </w:r>
          </w:p>
        </w:tc>
        <w:tc>
          <w:tcPr>
            <w:tcW w:w="1116"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拆船厂设置环境影响报告书审批</w:t>
            </w:r>
          </w:p>
        </w:tc>
        <w:tc>
          <w:tcPr>
            <w:tcW w:w="1673"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省、设区市、县（市、区）生态环境部门</w:t>
            </w:r>
          </w:p>
        </w:tc>
        <w:tc>
          <w:tcPr>
            <w:tcW w:w="5002"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《防止拆船污染环境管理条例》（国发〔1988〕31号）</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sz w:val="18"/>
                <w:szCs w:val="18"/>
              </w:rPr>
            </w:pPr>
            <w:r>
              <w:rPr>
                <w:rFonts w:hint="eastAsia"/>
                <w:sz w:val="18"/>
                <w:szCs w:val="18"/>
              </w:rPr>
              <w:t>拆船</w:t>
            </w:r>
          </w:p>
        </w:tc>
      </w:tr>
      <w:tr>
        <w:tblPrEx>
          <w:tblCellMar>
            <w:top w:w="0" w:type="dxa"/>
            <w:left w:w="108" w:type="dxa"/>
            <w:bottom w:w="0" w:type="dxa"/>
            <w:right w:w="108" w:type="dxa"/>
          </w:tblCellMar>
        </w:tblPrEx>
        <w:trPr>
          <w:cantSplit/>
          <w:trHeight w:val="1379" w:hRule="atLeast"/>
          <w:jc w:val="center"/>
        </w:trPr>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kern w:val="0"/>
                <w:sz w:val="18"/>
                <w:szCs w:val="18"/>
              </w:rPr>
            </w:pPr>
            <w:r>
              <w:rPr>
                <w:rFonts w:hint="eastAsia" w:ascii="宋体" w:hAnsi="宋体" w:eastAsia="宋体" w:cs="宋体"/>
                <w:kern w:val="0"/>
                <w:sz w:val="18"/>
                <w:szCs w:val="18"/>
              </w:rPr>
              <w:t>42</w:t>
            </w:r>
          </w:p>
        </w:tc>
        <w:tc>
          <w:tcPr>
            <w:tcW w:w="1116"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民用核安全设备设计、制造、安装和无损检验单位许可证核发</w:t>
            </w:r>
          </w:p>
        </w:tc>
        <w:tc>
          <w:tcPr>
            <w:tcW w:w="1673"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生态环境部</w:t>
            </w:r>
          </w:p>
        </w:tc>
        <w:tc>
          <w:tcPr>
            <w:tcW w:w="5002"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《民用核安全设备监督管理条例》(国务院令第500号)</w:t>
            </w:r>
          </w:p>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《国务院关于取消和调整一批行政审批项目等事项的决定》（国发〔2014〕50号）</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sz w:val="18"/>
                <w:szCs w:val="18"/>
              </w:rPr>
            </w:pPr>
            <w:r>
              <w:rPr>
                <w:rFonts w:hint="eastAsia"/>
                <w:sz w:val="18"/>
                <w:szCs w:val="18"/>
              </w:rPr>
              <w:t>民用核安全设备</w:t>
            </w:r>
          </w:p>
        </w:tc>
      </w:tr>
      <w:tr>
        <w:tblPrEx>
          <w:tblCellMar>
            <w:top w:w="0" w:type="dxa"/>
            <w:left w:w="108" w:type="dxa"/>
            <w:bottom w:w="0" w:type="dxa"/>
            <w:right w:w="108" w:type="dxa"/>
          </w:tblCellMar>
        </w:tblPrEx>
        <w:trPr>
          <w:cantSplit/>
          <w:trHeight w:val="503" w:hRule="atLeast"/>
          <w:jc w:val="center"/>
        </w:trPr>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b/>
                <w:bCs/>
                <w:kern w:val="0"/>
                <w:sz w:val="18"/>
                <w:szCs w:val="18"/>
              </w:rPr>
            </w:pPr>
            <w:r>
              <w:br w:type="page"/>
            </w:r>
            <w:r>
              <w:rPr>
                <w:rFonts w:hint="eastAsia" w:ascii="宋体" w:hAnsi="宋体" w:eastAsia="宋体" w:cs="宋体"/>
                <w:b/>
                <w:bCs/>
                <w:kern w:val="0"/>
                <w:sz w:val="18"/>
                <w:szCs w:val="18"/>
              </w:rPr>
              <w:t>序号</w:t>
            </w:r>
          </w:p>
        </w:tc>
        <w:tc>
          <w:tcPr>
            <w:tcW w:w="1116"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b/>
                <w:bCs/>
                <w:kern w:val="0"/>
                <w:sz w:val="18"/>
                <w:szCs w:val="18"/>
              </w:rPr>
            </w:pPr>
            <w:r>
              <w:rPr>
                <w:rFonts w:hint="eastAsia" w:ascii="宋体" w:hAnsi="宋体" w:eastAsia="宋体" w:cs="宋体"/>
                <w:b/>
                <w:bCs/>
                <w:kern w:val="0"/>
                <w:sz w:val="18"/>
                <w:szCs w:val="18"/>
              </w:rPr>
              <w:t>项目名称</w:t>
            </w:r>
          </w:p>
        </w:tc>
        <w:tc>
          <w:tcPr>
            <w:tcW w:w="1673" w:type="dxa"/>
            <w:tcBorders>
              <w:top w:val="single" w:color="auto" w:sz="4" w:space="0"/>
              <w:left w:val="nil"/>
              <w:bottom w:val="single" w:color="auto" w:sz="4" w:space="0"/>
              <w:right w:val="single" w:color="auto" w:sz="4" w:space="0"/>
            </w:tcBorders>
            <w:shd w:val="clear" w:color="000000" w:fill="FFFFFF"/>
            <w:vAlign w:val="center"/>
          </w:tcPr>
          <w:p>
            <w:pPr>
              <w:widowControl/>
              <w:spacing w:line="190" w:lineRule="exact"/>
              <w:jc w:val="center"/>
              <w:rPr>
                <w:rFonts w:ascii="宋体" w:hAnsi="宋体" w:eastAsia="宋体" w:cs="宋体"/>
                <w:b/>
                <w:bCs/>
                <w:kern w:val="0"/>
                <w:sz w:val="18"/>
                <w:szCs w:val="18"/>
              </w:rPr>
            </w:pPr>
            <w:r>
              <w:rPr>
                <w:rFonts w:hint="eastAsia" w:ascii="宋体" w:hAnsi="宋体" w:eastAsia="宋体" w:cs="宋体"/>
                <w:b/>
                <w:bCs/>
                <w:kern w:val="0"/>
                <w:sz w:val="18"/>
                <w:szCs w:val="18"/>
              </w:rPr>
              <w:t>实施机关</w:t>
            </w:r>
          </w:p>
        </w:tc>
        <w:tc>
          <w:tcPr>
            <w:tcW w:w="5002" w:type="dxa"/>
            <w:tcBorders>
              <w:top w:val="single" w:color="auto" w:sz="4" w:space="0"/>
              <w:left w:val="nil"/>
              <w:bottom w:val="single" w:color="auto" w:sz="4" w:space="0"/>
              <w:right w:val="single" w:color="auto" w:sz="4" w:space="0"/>
            </w:tcBorders>
            <w:shd w:val="clear" w:color="000000" w:fill="FFFFFF"/>
            <w:vAlign w:val="center"/>
          </w:tcPr>
          <w:p>
            <w:pPr>
              <w:widowControl/>
              <w:spacing w:line="190" w:lineRule="exact"/>
              <w:jc w:val="center"/>
              <w:rPr>
                <w:rFonts w:ascii="宋体" w:hAnsi="宋体" w:eastAsia="宋体" w:cs="宋体"/>
                <w:b/>
                <w:bCs/>
                <w:kern w:val="0"/>
                <w:sz w:val="18"/>
                <w:szCs w:val="18"/>
              </w:rPr>
            </w:pPr>
            <w:r>
              <w:rPr>
                <w:rFonts w:hint="eastAsia" w:ascii="宋体" w:hAnsi="宋体" w:eastAsia="宋体" w:cs="宋体"/>
                <w:b/>
                <w:bCs/>
                <w:kern w:val="0"/>
                <w:sz w:val="18"/>
                <w:szCs w:val="18"/>
              </w:rPr>
              <w:t xml:space="preserve">设定依据                                                                                         </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190" w:lineRule="exact"/>
              <w:rPr>
                <w:rFonts w:ascii="宋体" w:hAnsi="宋体" w:eastAsia="宋体" w:cs="宋体"/>
                <w:sz w:val="18"/>
                <w:szCs w:val="18"/>
              </w:rPr>
            </w:pPr>
            <w:r>
              <w:rPr>
                <w:rFonts w:hint="eastAsia" w:ascii="宋体" w:hAnsi="宋体" w:eastAsia="宋体" w:cs="宋体"/>
                <w:b/>
                <w:bCs/>
                <w:kern w:val="0"/>
                <w:sz w:val="18"/>
                <w:szCs w:val="18"/>
              </w:rPr>
              <w:t>检索关键词</w:t>
            </w:r>
          </w:p>
        </w:tc>
      </w:tr>
      <w:tr>
        <w:tblPrEx>
          <w:tblCellMar>
            <w:top w:w="0" w:type="dxa"/>
            <w:left w:w="108" w:type="dxa"/>
            <w:bottom w:w="0" w:type="dxa"/>
            <w:right w:w="108" w:type="dxa"/>
          </w:tblCellMar>
        </w:tblPrEx>
        <w:trPr>
          <w:cantSplit/>
          <w:trHeight w:val="1271" w:hRule="atLeast"/>
          <w:jc w:val="center"/>
        </w:trPr>
        <w:tc>
          <w:tcPr>
            <w:tcW w:w="756" w:type="dxa"/>
            <w:tcBorders>
              <w:top w:val="nil"/>
              <w:left w:val="single" w:color="auto" w:sz="4" w:space="0"/>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kern w:val="0"/>
                <w:sz w:val="18"/>
                <w:szCs w:val="18"/>
              </w:rPr>
            </w:pPr>
            <w:r>
              <w:rPr>
                <w:rFonts w:hint="eastAsia" w:ascii="宋体" w:hAnsi="宋体" w:eastAsia="宋体" w:cs="宋体"/>
                <w:kern w:val="0"/>
                <w:sz w:val="18"/>
                <w:szCs w:val="18"/>
              </w:rPr>
              <w:t>43</w:t>
            </w:r>
          </w:p>
        </w:tc>
        <w:tc>
          <w:tcPr>
            <w:tcW w:w="1116"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废弃电器电子产品处理资格许可</w:t>
            </w:r>
          </w:p>
        </w:tc>
        <w:tc>
          <w:tcPr>
            <w:tcW w:w="1673"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设区市生态环境部门</w:t>
            </w:r>
          </w:p>
        </w:tc>
        <w:tc>
          <w:tcPr>
            <w:tcW w:w="5002"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《废弃电器电子产品回收处理管理条例》（国务院令第551号）</w:t>
            </w:r>
          </w:p>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《国务院关于取消和调整一批行政审批项目等事项的决定》（国发〔2014〕27号）</w:t>
            </w:r>
          </w:p>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《辽宁省人民政府关于取消和下放一批行政审批项目的决定》（辽政发〔2014〕30号）</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sz w:val="18"/>
                <w:szCs w:val="18"/>
              </w:rPr>
            </w:pPr>
            <w:r>
              <w:rPr>
                <w:rFonts w:hint="eastAsia"/>
                <w:sz w:val="18"/>
                <w:szCs w:val="18"/>
              </w:rPr>
              <w:t>废弃电器电子产品</w:t>
            </w:r>
          </w:p>
        </w:tc>
      </w:tr>
      <w:tr>
        <w:tblPrEx>
          <w:tblCellMar>
            <w:top w:w="0" w:type="dxa"/>
            <w:left w:w="108" w:type="dxa"/>
            <w:bottom w:w="0" w:type="dxa"/>
            <w:right w:w="108" w:type="dxa"/>
          </w:tblCellMar>
        </w:tblPrEx>
        <w:trPr>
          <w:cantSplit/>
          <w:trHeight w:val="1416" w:hRule="atLeast"/>
          <w:jc w:val="center"/>
        </w:trPr>
        <w:tc>
          <w:tcPr>
            <w:tcW w:w="756" w:type="dxa"/>
            <w:tcBorders>
              <w:top w:val="nil"/>
              <w:left w:val="single" w:color="auto" w:sz="4" w:space="0"/>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kern w:val="0"/>
                <w:sz w:val="18"/>
                <w:szCs w:val="18"/>
              </w:rPr>
            </w:pPr>
            <w:r>
              <w:rPr>
                <w:rFonts w:hint="eastAsia" w:ascii="宋体" w:hAnsi="宋体" w:eastAsia="宋体" w:cs="宋体"/>
                <w:kern w:val="0"/>
                <w:sz w:val="18"/>
                <w:szCs w:val="18"/>
              </w:rPr>
              <w:t>44</w:t>
            </w:r>
          </w:p>
        </w:tc>
        <w:tc>
          <w:tcPr>
            <w:tcW w:w="1116"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从事城市生活垃圾经营性清扫、收集、运输、处理服务审批</w:t>
            </w:r>
          </w:p>
        </w:tc>
        <w:tc>
          <w:tcPr>
            <w:tcW w:w="1673"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设区市、县（市、区）住房城乡建设部门</w:t>
            </w:r>
          </w:p>
        </w:tc>
        <w:tc>
          <w:tcPr>
            <w:tcW w:w="5002"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《国务院对确需保留的行政审批项目设定行政许可的决定》（国务院令第412号）</w:t>
            </w:r>
          </w:p>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《城市生活垃圾管理办法》（建设部令第157号）</w:t>
            </w:r>
          </w:p>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《国务院关于取消和调整一批行政审批项目等事项的决定》（国发〔2014〕50号）</w:t>
            </w:r>
          </w:p>
        </w:tc>
        <w:tc>
          <w:tcPr>
            <w:tcW w:w="1261" w:type="dxa"/>
            <w:tcBorders>
              <w:top w:val="nil"/>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sz w:val="18"/>
                <w:szCs w:val="18"/>
              </w:rPr>
            </w:pPr>
            <w:r>
              <w:rPr>
                <w:rFonts w:hint="eastAsia"/>
                <w:sz w:val="18"/>
                <w:szCs w:val="18"/>
              </w:rPr>
              <w:t>垃圾</w:t>
            </w:r>
          </w:p>
        </w:tc>
      </w:tr>
      <w:tr>
        <w:tblPrEx>
          <w:tblCellMar>
            <w:top w:w="0" w:type="dxa"/>
            <w:left w:w="108" w:type="dxa"/>
            <w:bottom w:w="0" w:type="dxa"/>
            <w:right w:w="108" w:type="dxa"/>
          </w:tblCellMar>
        </w:tblPrEx>
        <w:trPr>
          <w:cantSplit/>
          <w:trHeight w:val="686" w:hRule="atLeast"/>
          <w:jc w:val="center"/>
        </w:trPr>
        <w:tc>
          <w:tcPr>
            <w:tcW w:w="756" w:type="dxa"/>
            <w:tcBorders>
              <w:top w:val="nil"/>
              <w:left w:val="single" w:color="auto" w:sz="4" w:space="0"/>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kern w:val="0"/>
                <w:sz w:val="18"/>
                <w:szCs w:val="18"/>
              </w:rPr>
            </w:pPr>
            <w:r>
              <w:rPr>
                <w:rFonts w:hint="eastAsia" w:ascii="宋体" w:hAnsi="宋体" w:eastAsia="宋体" w:cs="宋体"/>
                <w:kern w:val="0"/>
                <w:sz w:val="18"/>
                <w:szCs w:val="18"/>
              </w:rPr>
              <w:t>45</w:t>
            </w:r>
          </w:p>
        </w:tc>
        <w:tc>
          <w:tcPr>
            <w:tcW w:w="1116"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燃气经营许可证核发</w:t>
            </w:r>
          </w:p>
        </w:tc>
        <w:tc>
          <w:tcPr>
            <w:tcW w:w="1673"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设区市、县（市、区）住房城乡建设部门</w:t>
            </w:r>
          </w:p>
        </w:tc>
        <w:tc>
          <w:tcPr>
            <w:tcW w:w="5002"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《城镇燃气管理条例》（国务院令第583号）</w:t>
            </w:r>
          </w:p>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《国务院关于取消和调整一批行政审批项目等事项的决定》（国发〔2015〕11号）</w:t>
            </w:r>
          </w:p>
        </w:tc>
        <w:tc>
          <w:tcPr>
            <w:tcW w:w="1261" w:type="dxa"/>
            <w:tcBorders>
              <w:top w:val="nil"/>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sz w:val="18"/>
                <w:szCs w:val="18"/>
              </w:rPr>
            </w:pPr>
            <w:r>
              <w:rPr>
                <w:rFonts w:hint="eastAsia"/>
                <w:sz w:val="18"/>
                <w:szCs w:val="18"/>
              </w:rPr>
              <w:t>燃气经营</w:t>
            </w:r>
          </w:p>
        </w:tc>
      </w:tr>
      <w:tr>
        <w:tblPrEx>
          <w:tblCellMar>
            <w:top w:w="0" w:type="dxa"/>
            <w:left w:w="108" w:type="dxa"/>
            <w:bottom w:w="0" w:type="dxa"/>
            <w:right w:w="108" w:type="dxa"/>
          </w:tblCellMar>
        </w:tblPrEx>
        <w:trPr>
          <w:cantSplit/>
          <w:trHeight w:val="1844" w:hRule="atLeast"/>
          <w:jc w:val="center"/>
        </w:trPr>
        <w:tc>
          <w:tcPr>
            <w:tcW w:w="756" w:type="dxa"/>
            <w:tcBorders>
              <w:top w:val="nil"/>
              <w:left w:val="single" w:color="auto" w:sz="4" w:space="0"/>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kern w:val="0"/>
                <w:sz w:val="18"/>
                <w:szCs w:val="18"/>
              </w:rPr>
            </w:pPr>
            <w:r>
              <w:rPr>
                <w:rFonts w:hint="eastAsia" w:ascii="宋体" w:hAnsi="宋体" w:eastAsia="宋体" w:cs="宋体"/>
                <w:kern w:val="0"/>
                <w:sz w:val="18"/>
                <w:szCs w:val="18"/>
              </w:rPr>
              <w:t>46</w:t>
            </w:r>
          </w:p>
        </w:tc>
        <w:tc>
          <w:tcPr>
            <w:tcW w:w="1116"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建筑业企业（包括施工总承包序列、专业承包序列、施工劳务序列）资质认定</w:t>
            </w:r>
          </w:p>
        </w:tc>
        <w:tc>
          <w:tcPr>
            <w:tcW w:w="1673"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省住房城乡建设厅</w:t>
            </w:r>
          </w:p>
        </w:tc>
        <w:tc>
          <w:tcPr>
            <w:tcW w:w="5002"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《建筑法》</w:t>
            </w:r>
          </w:p>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《建设工程质量管理条例》（国务院令第279号）</w:t>
            </w:r>
          </w:p>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《建设工程安全生产管理条例》（国务院令第393号）</w:t>
            </w:r>
          </w:p>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《建筑业企业资质管理规定》（住房城乡建设部令第22号）</w:t>
            </w:r>
          </w:p>
        </w:tc>
        <w:tc>
          <w:tcPr>
            <w:tcW w:w="1261" w:type="dxa"/>
            <w:tcBorders>
              <w:top w:val="nil"/>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sz w:val="18"/>
                <w:szCs w:val="18"/>
              </w:rPr>
            </w:pPr>
            <w:r>
              <w:rPr>
                <w:rFonts w:hint="eastAsia"/>
                <w:sz w:val="18"/>
                <w:szCs w:val="18"/>
              </w:rPr>
              <w:t>建筑</w:t>
            </w:r>
          </w:p>
        </w:tc>
      </w:tr>
      <w:tr>
        <w:tblPrEx>
          <w:tblCellMar>
            <w:top w:w="0" w:type="dxa"/>
            <w:left w:w="108" w:type="dxa"/>
            <w:bottom w:w="0" w:type="dxa"/>
            <w:right w:w="108" w:type="dxa"/>
          </w:tblCellMar>
        </w:tblPrEx>
        <w:trPr>
          <w:cantSplit/>
          <w:trHeight w:val="708" w:hRule="atLeast"/>
          <w:jc w:val="center"/>
        </w:trPr>
        <w:tc>
          <w:tcPr>
            <w:tcW w:w="756" w:type="dxa"/>
            <w:tcBorders>
              <w:top w:val="nil"/>
              <w:left w:val="single" w:color="auto" w:sz="4" w:space="0"/>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kern w:val="0"/>
                <w:sz w:val="18"/>
                <w:szCs w:val="18"/>
              </w:rPr>
            </w:pPr>
            <w:r>
              <w:rPr>
                <w:rFonts w:hint="eastAsia" w:ascii="宋体" w:hAnsi="宋体" w:eastAsia="宋体" w:cs="宋体"/>
                <w:kern w:val="0"/>
                <w:sz w:val="18"/>
                <w:szCs w:val="18"/>
              </w:rPr>
              <w:t>47</w:t>
            </w:r>
          </w:p>
        </w:tc>
        <w:tc>
          <w:tcPr>
            <w:tcW w:w="1116"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建筑施工企业安全生产许可证核发</w:t>
            </w:r>
          </w:p>
        </w:tc>
        <w:tc>
          <w:tcPr>
            <w:tcW w:w="1673"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省住房城乡建设厅</w:t>
            </w:r>
          </w:p>
        </w:tc>
        <w:tc>
          <w:tcPr>
            <w:tcW w:w="5002"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《安全生产许可证条例》（国务院令第397号）</w:t>
            </w:r>
          </w:p>
        </w:tc>
        <w:tc>
          <w:tcPr>
            <w:tcW w:w="1261" w:type="dxa"/>
            <w:tcBorders>
              <w:top w:val="nil"/>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sz w:val="18"/>
                <w:szCs w:val="18"/>
              </w:rPr>
            </w:pPr>
            <w:r>
              <w:rPr>
                <w:rFonts w:hint="eastAsia"/>
                <w:sz w:val="18"/>
                <w:szCs w:val="18"/>
              </w:rPr>
              <w:t>建筑工程、建设施工</w:t>
            </w:r>
          </w:p>
        </w:tc>
      </w:tr>
      <w:tr>
        <w:tblPrEx>
          <w:tblCellMar>
            <w:top w:w="0" w:type="dxa"/>
            <w:left w:w="108" w:type="dxa"/>
            <w:bottom w:w="0" w:type="dxa"/>
            <w:right w:w="108" w:type="dxa"/>
          </w:tblCellMar>
        </w:tblPrEx>
        <w:trPr>
          <w:cantSplit/>
          <w:trHeight w:val="690" w:hRule="atLeast"/>
          <w:jc w:val="center"/>
        </w:trPr>
        <w:tc>
          <w:tcPr>
            <w:tcW w:w="756" w:type="dxa"/>
            <w:tcBorders>
              <w:top w:val="nil"/>
              <w:left w:val="single" w:color="auto" w:sz="4" w:space="0"/>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kern w:val="0"/>
                <w:sz w:val="18"/>
                <w:szCs w:val="18"/>
              </w:rPr>
            </w:pPr>
            <w:r>
              <w:rPr>
                <w:rFonts w:hint="eastAsia" w:ascii="宋体" w:hAnsi="宋体" w:eastAsia="宋体" w:cs="宋体"/>
                <w:kern w:val="0"/>
                <w:sz w:val="18"/>
                <w:szCs w:val="18"/>
              </w:rPr>
              <w:t>48</w:t>
            </w:r>
          </w:p>
        </w:tc>
        <w:tc>
          <w:tcPr>
            <w:tcW w:w="1116"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建设工程质量检测机构资质审批</w:t>
            </w:r>
          </w:p>
        </w:tc>
        <w:tc>
          <w:tcPr>
            <w:tcW w:w="1673"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省住房城乡建设厅</w:t>
            </w:r>
          </w:p>
        </w:tc>
        <w:tc>
          <w:tcPr>
            <w:tcW w:w="5002" w:type="dxa"/>
            <w:tcBorders>
              <w:top w:val="nil"/>
              <w:left w:val="nil"/>
              <w:bottom w:val="single" w:color="auto" w:sz="4" w:space="0"/>
              <w:right w:val="single" w:color="auto" w:sz="4" w:space="0"/>
            </w:tcBorders>
            <w:shd w:val="clear" w:color="000000" w:fill="FFFFFF"/>
            <w:vAlign w:val="center"/>
          </w:tcPr>
          <w:p>
            <w:pPr>
              <w:widowControl/>
              <w:spacing w:line="190" w:lineRule="exact"/>
              <w:jc w:val="left"/>
              <w:rPr>
                <w:rFonts w:ascii="宋体" w:hAnsi="宋体" w:eastAsia="宋体" w:cs="宋体"/>
                <w:kern w:val="0"/>
                <w:sz w:val="18"/>
                <w:szCs w:val="18"/>
              </w:rPr>
            </w:pPr>
            <w:r>
              <w:rPr>
                <w:rFonts w:hint="eastAsia" w:ascii="宋体" w:hAnsi="宋体" w:eastAsia="宋体" w:cs="宋体"/>
                <w:kern w:val="0"/>
                <w:sz w:val="18"/>
                <w:szCs w:val="18"/>
              </w:rPr>
              <w:t>《建筑法》</w:t>
            </w:r>
          </w:p>
          <w:p>
            <w:pPr>
              <w:widowControl/>
              <w:spacing w:line="190" w:lineRule="exact"/>
              <w:jc w:val="left"/>
              <w:rPr>
                <w:rFonts w:ascii="宋体" w:hAnsi="宋体" w:eastAsia="宋体" w:cs="宋体"/>
                <w:kern w:val="0"/>
                <w:sz w:val="18"/>
                <w:szCs w:val="18"/>
              </w:rPr>
            </w:pPr>
            <w:r>
              <w:rPr>
                <w:rFonts w:hint="eastAsia" w:ascii="宋体" w:hAnsi="宋体" w:eastAsia="宋体" w:cs="宋体"/>
                <w:kern w:val="0"/>
                <w:sz w:val="18"/>
                <w:szCs w:val="18"/>
              </w:rPr>
              <w:t>《建设工程质量管理条例》(国务院令第279号）</w:t>
            </w:r>
          </w:p>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《建设工程质量检测管理办法》（建设部令第141号）</w:t>
            </w:r>
          </w:p>
        </w:tc>
        <w:tc>
          <w:tcPr>
            <w:tcW w:w="1261" w:type="dxa"/>
            <w:tcBorders>
              <w:top w:val="nil"/>
              <w:left w:val="nil"/>
              <w:bottom w:val="single" w:color="auto" w:sz="4" w:space="0"/>
              <w:right w:val="single" w:color="auto" w:sz="4" w:space="0"/>
            </w:tcBorders>
            <w:shd w:val="clear" w:color="000000" w:fill="FFFFFF"/>
            <w:vAlign w:val="center"/>
          </w:tcPr>
          <w:p>
            <w:pPr>
              <w:spacing w:line="220" w:lineRule="exact"/>
              <w:rPr>
                <w:sz w:val="18"/>
                <w:szCs w:val="18"/>
              </w:rPr>
            </w:pPr>
            <w:r>
              <w:rPr>
                <w:rFonts w:hint="eastAsia"/>
                <w:sz w:val="18"/>
                <w:szCs w:val="18"/>
              </w:rPr>
              <w:t>工程质量检测</w:t>
            </w:r>
          </w:p>
        </w:tc>
      </w:tr>
      <w:tr>
        <w:tblPrEx>
          <w:tblCellMar>
            <w:top w:w="0" w:type="dxa"/>
            <w:left w:w="108" w:type="dxa"/>
            <w:bottom w:w="0" w:type="dxa"/>
            <w:right w:w="108" w:type="dxa"/>
          </w:tblCellMar>
        </w:tblPrEx>
        <w:trPr>
          <w:cantSplit/>
          <w:trHeight w:val="686" w:hRule="atLeast"/>
          <w:jc w:val="center"/>
        </w:trPr>
        <w:tc>
          <w:tcPr>
            <w:tcW w:w="756" w:type="dxa"/>
            <w:tcBorders>
              <w:top w:val="nil"/>
              <w:left w:val="single" w:color="auto" w:sz="4" w:space="0"/>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kern w:val="0"/>
                <w:sz w:val="18"/>
                <w:szCs w:val="18"/>
              </w:rPr>
            </w:pPr>
            <w:r>
              <w:rPr>
                <w:rFonts w:hint="eastAsia" w:ascii="宋体" w:hAnsi="宋体" w:eastAsia="宋体" w:cs="宋体"/>
                <w:kern w:val="0"/>
                <w:sz w:val="18"/>
                <w:szCs w:val="18"/>
              </w:rPr>
              <w:t>49</w:t>
            </w:r>
          </w:p>
        </w:tc>
        <w:tc>
          <w:tcPr>
            <w:tcW w:w="1116"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房地产开发企业资质核定</w:t>
            </w:r>
          </w:p>
        </w:tc>
        <w:tc>
          <w:tcPr>
            <w:tcW w:w="1673"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各级住房城乡建设（房地产）部门</w:t>
            </w:r>
          </w:p>
        </w:tc>
        <w:tc>
          <w:tcPr>
            <w:tcW w:w="5002" w:type="dxa"/>
            <w:tcBorders>
              <w:top w:val="nil"/>
              <w:left w:val="nil"/>
              <w:bottom w:val="single" w:color="auto" w:sz="4" w:space="0"/>
              <w:right w:val="single" w:color="auto" w:sz="4" w:space="0"/>
            </w:tcBorders>
            <w:shd w:val="clear" w:color="000000" w:fill="FFFFFF"/>
            <w:vAlign w:val="center"/>
          </w:tcPr>
          <w:p>
            <w:pPr>
              <w:widowControl/>
              <w:spacing w:line="190" w:lineRule="exact"/>
              <w:jc w:val="left"/>
              <w:rPr>
                <w:rFonts w:ascii="宋体" w:hAnsi="宋体" w:eastAsia="宋体" w:cs="宋体"/>
                <w:kern w:val="0"/>
                <w:sz w:val="18"/>
                <w:szCs w:val="18"/>
              </w:rPr>
            </w:pPr>
            <w:r>
              <w:rPr>
                <w:rFonts w:hint="eastAsia" w:ascii="宋体" w:hAnsi="宋体" w:eastAsia="宋体" w:cs="宋体"/>
                <w:kern w:val="0"/>
                <w:sz w:val="18"/>
                <w:szCs w:val="18"/>
              </w:rPr>
              <w:t>《城市房地产管理法》</w:t>
            </w:r>
          </w:p>
          <w:p>
            <w:pPr>
              <w:widowControl/>
              <w:spacing w:line="190" w:lineRule="exact"/>
              <w:jc w:val="left"/>
              <w:rPr>
                <w:rFonts w:ascii="宋体" w:hAnsi="宋体" w:eastAsia="宋体" w:cs="宋体"/>
                <w:kern w:val="0"/>
                <w:sz w:val="18"/>
                <w:szCs w:val="18"/>
              </w:rPr>
            </w:pPr>
            <w:r>
              <w:rPr>
                <w:rFonts w:hint="eastAsia" w:ascii="宋体" w:hAnsi="宋体" w:eastAsia="宋体" w:cs="宋体"/>
                <w:kern w:val="0"/>
                <w:sz w:val="18"/>
                <w:szCs w:val="18"/>
              </w:rPr>
              <w:t>《城市房地产开发经营管理条例》（国务院令第248号）</w:t>
            </w:r>
          </w:p>
          <w:p>
            <w:pPr>
              <w:widowControl/>
              <w:spacing w:line="190" w:lineRule="exact"/>
              <w:jc w:val="left"/>
              <w:rPr>
                <w:rFonts w:ascii="宋体" w:hAnsi="宋体" w:eastAsia="宋体" w:cs="宋体"/>
                <w:kern w:val="0"/>
                <w:sz w:val="18"/>
                <w:szCs w:val="18"/>
              </w:rPr>
            </w:pPr>
            <w:r>
              <w:rPr>
                <w:rFonts w:hint="eastAsia" w:ascii="宋体" w:hAnsi="宋体" w:eastAsia="宋体" w:cs="宋体"/>
                <w:kern w:val="0"/>
                <w:sz w:val="18"/>
                <w:szCs w:val="18"/>
              </w:rPr>
              <w:t>《房地产开发企业资质管理规定》（建设部令第77号）</w:t>
            </w:r>
          </w:p>
        </w:tc>
        <w:tc>
          <w:tcPr>
            <w:tcW w:w="1261" w:type="dxa"/>
            <w:tcBorders>
              <w:top w:val="nil"/>
              <w:left w:val="nil"/>
              <w:bottom w:val="single" w:color="auto" w:sz="4" w:space="0"/>
              <w:right w:val="single" w:color="auto" w:sz="4" w:space="0"/>
            </w:tcBorders>
            <w:shd w:val="clear" w:color="000000" w:fill="FFFFFF"/>
            <w:vAlign w:val="center"/>
          </w:tcPr>
          <w:p>
            <w:pPr>
              <w:spacing w:line="220" w:lineRule="exact"/>
              <w:rPr>
                <w:sz w:val="18"/>
                <w:szCs w:val="18"/>
              </w:rPr>
            </w:pPr>
            <w:r>
              <w:rPr>
                <w:rFonts w:hint="eastAsia"/>
                <w:sz w:val="18"/>
                <w:szCs w:val="18"/>
              </w:rPr>
              <w:t>房地产开发</w:t>
            </w:r>
          </w:p>
        </w:tc>
      </w:tr>
      <w:tr>
        <w:tblPrEx>
          <w:tblCellMar>
            <w:top w:w="0" w:type="dxa"/>
            <w:left w:w="108" w:type="dxa"/>
            <w:bottom w:w="0" w:type="dxa"/>
            <w:right w:w="108" w:type="dxa"/>
          </w:tblCellMar>
        </w:tblPrEx>
        <w:trPr>
          <w:cantSplit/>
          <w:trHeight w:val="686" w:hRule="atLeast"/>
          <w:jc w:val="center"/>
        </w:trPr>
        <w:tc>
          <w:tcPr>
            <w:tcW w:w="756" w:type="dxa"/>
            <w:tcBorders>
              <w:top w:val="nil"/>
              <w:left w:val="single" w:color="auto" w:sz="4" w:space="0"/>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kern w:val="0"/>
                <w:sz w:val="18"/>
                <w:szCs w:val="18"/>
              </w:rPr>
            </w:pPr>
            <w:r>
              <w:rPr>
                <w:rFonts w:hint="eastAsia" w:ascii="宋体" w:hAnsi="宋体" w:eastAsia="宋体" w:cs="宋体"/>
                <w:kern w:val="0"/>
                <w:sz w:val="18"/>
                <w:szCs w:val="18"/>
              </w:rPr>
              <w:t>50</w:t>
            </w:r>
          </w:p>
        </w:tc>
        <w:tc>
          <w:tcPr>
            <w:tcW w:w="1116"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工程监理企业资质认定</w:t>
            </w:r>
          </w:p>
        </w:tc>
        <w:tc>
          <w:tcPr>
            <w:tcW w:w="1673"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省住房城乡建设厅</w:t>
            </w:r>
          </w:p>
        </w:tc>
        <w:tc>
          <w:tcPr>
            <w:tcW w:w="5002" w:type="dxa"/>
            <w:tcBorders>
              <w:top w:val="nil"/>
              <w:left w:val="nil"/>
              <w:bottom w:val="single" w:color="auto" w:sz="4" w:space="0"/>
              <w:right w:val="single" w:color="auto" w:sz="4" w:space="0"/>
            </w:tcBorders>
            <w:shd w:val="clear" w:color="000000" w:fill="FFFFFF"/>
            <w:vAlign w:val="center"/>
          </w:tcPr>
          <w:p>
            <w:pPr>
              <w:widowControl/>
              <w:spacing w:line="190" w:lineRule="exact"/>
              <w:jc w:val="left"/>
              <w:rPr>
                <w:rFonts w:ascii="宋体" w:hAnsi="宋体" w:eastAsia="宋体" w:cs="宋体"/>
                <w:kern w:val="0"/>
                <w:sz w:val="18"/>
                <w:szCs w:val="18"/>
              </w:rPr>
            </w:pPr>
            <w:r>
              <w:rPr>
                <w:rFonts w:hint="eastAsia" w:ascii="宋体" w:hAnsi="宋体" w:eastAsia="宋体" w:cs="宋体"/>
                <w:kern w:val="0"/>
                <w:sz w:val="18"/>
                <w:szCs w:val="18"/>
              </w:rPr>
              <w:t>《建筑法》</w:t>
            </w:r>
          </w:p>
          <w:p>
            <w:pPr>
              <w:widowControl/>
              <w:spacing w:line="190" w:lineRule="exact"/>
              <w:jc w:val="left"/>
              <w:rPr>
                <w:rFonts w:ascii="宋体" w:hAnsi="宋体" w:eastAsia="宋体" w:cs="宋体"/>
                <w:kern w:val="0"/>
                <w:sz w:val="18"/>
                <w:szCs w:val="18"/>
              </w:rPr>
            </w:pPr>
            <w:r>
              <w:rPr>
                <w:rFonts w:hint="eastAsia" w:ascii="宋体" w:hAnsi="宋体" w:eastAsia="宋体" w:cs="宋体"/>
                <w:kern w:val="0"/>
                <w:sz w:val="18"/>
                <w:szCs w:val="18"/>
              </w:rPr>
              <w:t>《工程监理企业资质管理规定》（建设部令第158号）</w:t>
            </w:r>
          </w:p>
        </w:tc>
        <w:tc>
          <w:tcPr>
            <w:tcW w:w="1261" w:type="dxa"/>
            <w:tcBorders>
              <w:top w:val="nil"/>
              <w:left w:val="nil"/>
              <w:bottom w:val="single" w:color="auto" w:sz="4" w:space="0"/>
              <w:right w:val="single" w:color="auto" w:sz="4" w:space="0"/>
            </w:tcBorders>
            <w:shd w:val="clear" w:color="000000" w:fill="FFFFFF"/>
            <w:vAlign w:val="center"/>
          </w:tcPr>
          <w:p>
            <w:pPr>
              <w:spacing w:line="220" w:lineRule="exact"/>
              <w:rPr>
                <w:sz w:val="18"/>
                <w:szCs w:val="18"/>
              </w:rPr>
            </w:pPr>
            <w:r>
              <w:rPr>
                <w:rFonts w:hint="eastAsia"/>
                <w:sz w:val="18"/>
                <w:szCs w:val="18"/>
              </w:rPr>
              <w:t>工程监理</w:t>
            </w:r>
          </w:p>
        </w:tc>
      </w:tr>
      <w:tr>
        <w:tblPrEx>
          <w:tblCellMar>
            <w:top w:w="0" w:type="dxa"/>
            <w:left w:w="108" w:type="dxa"/>
            <w:bottom w:w="0" w:type="dxa"/>
            <w:right w:w="108" w:type="dxa"/>
          </w:tblCellMar>
        </w:tblPrEx>
        <w:trPr>
          <w:cantSplit/>
          <w:trHeight w:val="840" w:hRule="atLeast"/>
          <w:jc w:val="center"/>
        </w:trPr>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kern w:val="0"/>
                <w:sz w:val="18"/>
                <w:szCs w:val="18"/>
              </w:rPr>
            </w:pPr>
            <w:r>
              <w:rPr>
                <w:rFonts w:hint="eastAsia" w:ascii="宋体" w:hAnsi="宋体" w:eastAsia="宋体" w:cs="宋体"/>
                <w:kern w:val="0"/>
                <w:sz w:val="18"/>
                <w:szCs w:val="18"/>
              </w:rPr>
              <w:t>51</w:t>
            </w:r>
          </w:p>
        </w:tc>
        <w:tc>
          <w:tcPr>
            <w:tcW w:w="1116"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工程勘察企业资质认定、劳务资质认定</w:t>
            </w:r>
          </w:p>
        </w:tc>
        <w:tc>
          <w:tcPr>
            <w:tcW w:w="1673" w:type="dxa"/>
            <w:tcBorders>
              <w:top w:val="single" w:color="auto" w:sz="4" w:space="0"/>
              <w:left w:val="nil"/>
              <w:bottom w:val="single" w:color="auto" w:sz="4" w:space="0"/>
              <w:right w:val="single" w:color="auto" w:sz="4" w:space="0"/>
            </w:tcBorders>
            <w:shd w:val="clear" w:color="000000" w:fill="FFFFFF"/>
            <w:vAlign w:val="center"/>
          </w:tcPr>
          <w:p>
            <w:pPr>
              <w:widowControl/>
              <w:spacing w:line="190" w:lineRule="exact"/>
              <w:jc w:val="left"/>
              <w:rPr>
                <w:rFonts w:ascii="宋体" w:hAnsi="宋体" w:eastAsia="宋体" w:cs="宋体"/>
                <w:kern w:val="0"/>
                <w:sz w:val="18"/>
                <w:szCs w:val="18"/>
              </w:rPr>
            </w:pPr>
            <w:r>
              <w:rPr>
                <w:rFonts w:hint="eastAsia" w:ascii="宋体" w:hAnsi="宋体" w:eastAsia="宋体" w:cs="宋体"/>
                <w:kern w:val="0"/>
                <w:sz w:val="18"/>
                <w:szCs w:val="18"/>
              </w:rPr>
              <w:t>住房城乡建设部、省住房城乡建设厅</w:t>
            </w:r>
          </w:p>
        </w:tc>
        <w:tc>
          <w:tcPr>
            <w:tcW w:w="5002" w:type="dxa"/>
            <w:tcBorders>
              <w:top w:val="single" w:color="auto" w:sz="4" w:space="0"/>
              <w:left w:val="nil"/>
              <w:bottom w:val="single" w:color="auto" w:sz="4" w:space="0"/>
              <w:right w:val="single" w:color="auto" w:sz="4" w:space="0"/>
            </w:tcBorders>
            <w:shd w:val="clear" w:color="000000" w:fill="FFFFFF"/>
            <w:vAlign w:val="center"/>
          </w:tcPr>
          <w:p>
            <w:pPr>
              <w:widowControl/>
              <w:spacing w:line="190" w:lineRule="exact"/>
              <w:jc w:val="left"/>
              <w:rPr>
                <w:rFonts w:ascii="宋体" w:hAnsi="宋体" w:eastAsia="宋体" w:cs="宋体"/>
                <w:kern w:val="0"/>
                <w:sz w:val="18"/>
                <w:szCs w:val="18"/>
              </w:rPr>
            </w:pPr>
            <w:r>
              <w:rPr>
                <w:rFonts w:hint="eastAsia" w:ascii="宋体" w:hAnsi="宋体" w:eastAsia="宋体" w:cs="宋体"/>
                <w:kern w:val="0"/>
                <w:sz w:val="18"/>
                <w:szCs w:val="18"/>
              </w:rPr>
              <w:t>《建筑法》</w:t>
            </w:r>
          </w:p>
          <w:p>
            <w:pPr>
              <w:widowControl/>
              <w:spacing w:line="190" w:lineRule="exact"/>
              <w:jc w:val="left"/>
              <w:rPr>
                <w:rFonts w:ascii="宋体" w:hAnsi="宋体" w:eastAsia="宋体" w:cs="宋体"/>
                <w:kern w:val="0"/>
                <w:sz w:val="18"/>
                <w:szCs w:val="18"/>
              </w:rPr>
            </w:pPr>
            <w:r>
              <w:rPr>
                <w:rFonts w:hint="eastAsia" w:ascii="宋体" w:hAnsi="宋体" w:eastAsia="宋体" w:cs="宋体"/>
                <w:kern w:val="0"/>
                <w:sz w:val="18"/>
                <w:szCs w:val="18"/>
              </w:rPr>
              <w:t>《建设工程勘察设计管理条例》（国务院令第293号）</w:t>
            </w:r>
          </w:p>
          <w:p>
            <w:pPr>
              <w:widowControl/>
              <w:spacing w:line="190" w:lineRule="exact"/>
              <w:jc w:val="left"/>
              <w:rPr>
                <w:rFonts w:ascii="宋体" w:hAnsi="宋体" w:eastAsia="宋体" w:cs="宋体"/>
                <w:kern w:val="0"/>
                <w:sz w:val="18"/>
                <w:szCs w:val="18"/>
              </w:rPr>
            </w:pPr>
            <w:r>
              <w:rPr>
                <w:rFonts w:hint="eastAsia" w:ascii="宋体" w:hAnsi="宋体" w:eastAsia="宋体" w:cs="宋体"/>
                <w:kern w:val="0"/>
                <w:sz w:val="18"/>
                <w:szCs w:val="18"/>
              </w:rPr>
              <w:t>《建设工程勘察设计资质管理规定》（建设部令第160号）</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190" w:lineRule="exact"/>
              <w:rPr>
                <w:rFonts w:ascii="宋体" w:hAnsi="宋体" w:eastAsia="宋体" w:cs="宋体"/>
                <w:sz w:val="18"/>
                <w:szCs w:val="18"/>
              </w:rPr>
            </w:pPr>
            <w:r>
              <w:rPr>
                <w:rFonts w:hint="eastAsia"/>
                <w:sz w:val="18"/>
                <w:szCs w:val="18"/>
              </w:rPr>
              <w:t>工程勘察</w:t>
            </w:r>
          </w:p>
        </w:tc>
      </w:tr>
      <w:tr>
        <w:tblPrEx>
          <w:tblCellMar>
            <w:top w:w="0" w:type="dxa"/>
            <w:left w:w="108" w:type="dxa"/>
            <w:bottom w:w="0" w:type="dxa"/>
            <w:right w:w="108" w:type="dxa"/>
          </w:tblCellMar>
        </w:tblPrEx>
        <w:trPr>
          <w:cantSplit/>
          <w:trHeight w:val="2030" w:hRule="atLeast"/>
          <w:jc w:val="center"/>
        </w:trPr>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180" w:lineRule="exact"/>
              <w:jc w:val="center"/>
              <w:rPr>
                <w:rFonts w:asciiTheme="minorEastAsia" w:hAnsiTheme="minorEastAsia"/>
                <w:sz w:val="18"/>
                <w:szCs w:val="18"/>
              </w:rPr>
            </w:pPr>
            <w:r>
              <w:rPr>
                <w:rFonts w:hint="eastAsia" w:ascii="宋体" w:hAnsi="宋体" w:eastAsia="宋体" w:cs="宋体"/>
                <w:kern w:val="0"/>
                <w:sz w:val="18"/>
                <w:szCs w:val="18"/>
              </w:rPr>
              <w:t>52</w:t>
            </w:r>
          </w:p>
        </w:tc>
        <w:tc>
          <w:tcPr>
            <w:tcW w:w="1116"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工程设计企业资质认定（涉及铁路、交通、水利、信息产业、民航等方面工程设计资质除外）、设计与施工一体化资质认定</w:t>
            </w:r>
          </w:p>
        </w:tc>
        <w:tc>
          <w:tcPr>
            <w:tcW w:w="1673" w:type="dxa"/>
            <w:tcBorders>
              <w:top w:val="single" w:color="auto" w:sz="4" w:space="0"/>
              <w:left w:val="nil"/>
              <w:bottom w:val="single" w:color="auto" w:sz="4" w:space="0"/>
              <w:right w:val="single" w:color="auto" w:sz="4" w:space="0"/>
            </w:tcBorders>
            <w:shd w:val="clear" w:color="000000" w:fill="FFFFFF"/>
            <w:vAlign w:val="center"/>
          </w:tcPr>
          <w:p>
            <w:pPr>
              <w:widowControl/>
              <w:spacing w:line="190" w:lineRule="exact"/>
              <w:jc w:val="left"/>
              <w:rPr>
                <w:rFonts w:ascii="宋体" w:hAnsi="宋体" w:eastAsia="宋体" w:cs="宋体"/>
                <w:kern w:val="0"/>
                <w:sz w:val="18"/>
                <w:szCs w:val="18"/>
              </w:rPr>
            </w:pPr>
            <w:r>
              <w:rPr>
                <w:rFonts w:hint="eastAsia" w:ascii="宋体" w:hAnsi="宋体" w:eastAsia="宋体" w:cs="宋体"/>
                <w:kern w:val="0"/>
                <w:sz w:val="18"/>
                <w:szCs w:val="18"/>
              </w:rPr>
              <w:t>省住房城乡建设厅</w:t>
            </w:r>
          </w:p>
        </w:tc>
        <w:tc>
          <w:tcPr>
            <w:tcW w:w="5002" w:type="dxa"/>
            <w:tcBorders>
              <w:top w:val="single" w:color="auto" w:sz="4" w:space="0"/>
              <w:left w:val="nil"/>
              <w:bottom w:val="single" w:color="auto" w:sz="4" w:space="0"/>
              <w:right w:val="single" w:color="auto" w:sz="4" w:space="0"/>
            </w:tcBorders>
            <w:shd w:val="clear" w:color="000000" w:fill="FFFFFF"/>
            <w:vAlign w:val="center"/>
          </w:tcPr>
          <w:p>
            <w:pPr>
              <w:widowControl/>
              <w:spacing w:line="190" w:lineRule="exact"/>
              <w:jc w:val="left"/>
              <w:rPr>
                <w:rFonts w:ascii="宋体" w:hAnsi="宋体" w:eastAsia="宋体" w:cs="宋体"/>
                <w:kern w:val="0"/>
                <w:sz w:val="18"/>
                <w:szCs w:val="18"/>
              </w:rPr>
            </w:pPr>
            <w:r>
              <w:rPr>
                <w:rFonts w:hint="eastAsia" w:ascii="宋体" w:hAnsi="宋体" w:eastAsia="宋体" w:cs="宋体"/>
                <w:kern w:val="0"/>
                <w:sz w:val="18"/>
                <w:szCs w:val="18"/>
              </w:rPr>
              <w:t>《建筑法》</w:t>
            </w:r>
          </w:p>
          <w:p>
            <w:pPr>
              <w:widowControl/>
              <w:spacing w:line="190" w:lineRule="exact"/>
              <w:jc w:val="left"/>
              <w:rPr>
                <w:rFonts w:ascii="宋体" w:hAnsi="宋体" w:eastAsia="宋体" w:cs="宋体"/>
                <w:kern w:val="0"/>
                <w:sz w:val="18"/>
                <w:szCs w:val="18"/>
              </w:rPr>
            </w:pPr>
            <w:r>
              <w:rPr>
                <w:rFonts w:hint="eastAsia" w:ascii="宋体" w:hAnsi="宋体" w:eastAsia="宋体" w:cs="宋体"/>
                <w:kern w:val="0"/>
                <w:sz w:val="18"/>
                <w:szCs w:val="18"/>
              </w:rPr>
              <w:t>《建设工程勘察设计管理条例》（国务院令第293号）</w:t>
            </w:r>
          </w:p>
          <w:p>
            <w:pPr>
              <w:widowControl/>
              <w:spacing w:line="190" w:lineRule="exact"/>
              <w:jc w:val="left"/>
              <w:rPr>
                <w:rFonts w:ascii="宋体" w:hAnsi="宋体" w:eastAsia="宋体" w:cs="宋体"/>
                <w:kern w:val="0"/>
                <w:sz w:val="18"/>
                <w:szCs w:val="18"/>
              </w:rPr>
            </w:pPr>
            <w:r>
              <w:rPr>
                <w:rFonts w:hint="eastAsia" w:ascii="宋体" w:hAnsi="宋体" w:eastAsia="宋体" w:cs="宋体"/>
                <w:kern w:val="0"/>
                <w:sz w:val="18"/>
                <w:szCs w:val="18"/>
              </w:rPr>
              <w:t>《建设工程勘察设计资质管理规定》（建设部令第160号）</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190" w:lineRule="exact"/>
              <w:rPr>
                <w:rFonts w:ascii="宋体" w:hAnsi="宋体" w:eastAsia="宋体" w:cs="宋体"/>
                <w:sz w:val="18"/>
                <w:szCs w:val="18"/>
              </w:rPr>
            </w:pPr>
            <w:r>
              <w:rPr>
                <w:rFonts w:hint="eastAsia"/>
                <w:sz w:val="18"/>
                <w:szCs w:val="18"/>
              </w:rPr>
              <w:t>工程设计</w:t>
            </w:r>
          </w:p>
        </w:tc>
      </w:tr>
      <w:tr>
        <w:tblPrEx>
          <w:tblCellMar>
            <w:top w:w="0" w:type="dxa"/>
            <w:left w:w="108" w:type="dxa"/>
            <w:bottom w:w="0" w:type="dxa"/>
            <w:right w:w="108" w:type="dxa"/>
          </w:tblCellMar>
        </w:tblPrEx>
        <w:trPr>
          <w:cantSplit/>
          <w:trHeight w:val="698" w:hRule="atLeast"/>
          <w:jc w:val="center"/>
        </w:trPr>
        <w:tc>
          <w:tcPr>
            <w:tcW w:w="756" w:type="dxa"/>
            <w:tcBorders>
              <w:top w:val="nil"/>
              <w:left w:val="single" w:color="auto" w:sz="4" w:space="0"/>
              <w:bottom w:val="single" w:color="auto" w:sz="4" w:space="0"/>
              <w:right w:val="single" w:color="auto" w:sz="4" w:space="0"/>
            </w:tcBorders>
            <w:shd w:val="clear" w:color="000000" w:fill="FFFFFF"/>
            <w:vAlign w:val="center"/>
          </w:tcPr>
          <w:p>
            <w:pPr>
              <w:widowControl/>
              <w:spacing w:line="180" w:lineRule="exact"/>
              <w:jc w:val="center"/>
              <w:rPr>
                <w:rFonts w:asciiTheme="minorEastAsia" w:hAnsiTheme="minorEastAsia"/>
                <w:sz w:val="18"/>
                <w:szCs w:val="18"/>
              </w:rPr>
            </w:pPr>
            <w:r>
              <w:rPr>
                <w:rFonts w:hint="eastAsia" w:asciiTheme="minorEastAsia" w:hAnsiTheme="minorEastAsia"/>
                <w:sz w:val="18"/>
                <w:szCs w:val="18"/>
              </w:rPr>
              <w:t>53</w:t>
            </w:r>
          </w:p>
        </w:tc>
        <w:tc>
          <w:tcPr>
            <w:tcW w:w="1116" w:type="dxa"/>
            <w:tcBorders>
              <w:top w:val="nil"/>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工程造价咨询单位资质认定</w:t>
            </w:r>
          </w:p>
        </w:tc>
        <w:tc>
          <w:tcPr>
            <w:tcW w:w="1673" w:type="dxa"/>
            <w:tcBorders>
              <w:top w:val="nil"/>
              <w:left w:val="nil"/>
              <w:bottom w:val="single" w:color="auto" w:sz="4" w:space="0"/>
              <w:right w:val="single" w:color="auto" w:sz="4" w:space="0"/>
            </w:tcBorders>
            <w:shd w:val="clear" w:color="000000" w:fill="FFFFFF"/>
            <w:vAlign w:val="center"/>
          </w:tcPr>
          <w:p>
            <w:pPr>
              <w:widowControl/>
              <w:spacing w:line="190" w:lineRule="exact"/>
              <w:jc w:val="left"/>
              <w:rPr>
                <w:rFonts w:ascii="宋体" w:hAnsi="宋体" w:eastAsia="宋体" w:cs="宋体"/>
                <w:kern w:val="0"/>
                <w:sz w:val="18"/>
                <w:szCs w:val="18"/>
              </w:rPr>
            </w:pPr>
            <w:r>
              <w:rPr>
                <w:rFonts w:hint="eastAsia" w:ascii="宋体" w:hAnsi="宋体" w:eastAsia="宋体" w:cs="宋体"/>
                <w:kern w:val="0"/>
                <w:sz w:val="18"/>
                <w:szCs w:val="18"/>
              </w:rPr>
              <w:t>省住房城乡建设厅</w:t>
            </w:r>
          </w:p>
        </w:tc>
        <w:tc>
          <w:tcPr>
            <w:tcW w:w="5002" w:type="dxa"/>
            <w:tcBorders>
              <w:top w:val="nil"/>
              <w:left w:val="nil"/>
              <w:bottom w:val="single" w:color="auto" w:sz="4" w:space="0"/>
              <w:right w:val="single" w:color="auto" w:sz="4" w:space="0"/>
            </w:tcBorders>
            <w:shd w:val="clear" w:color="000000" w:fill="FFFFFF"/>
            <w:vAlign w:val="center"/>
          </w:tcPr>
          <w:p>
            <w:pPr>
              <w:widowControl/>
              <w:spacing w:line="190" w:lineRule="exact"/>
              <w:jc w:val="left"/>
              <w:rPr>
                <w:rFonts w:ascii="宋体" w:hAnsi="宋体" w:eastAsia="宋体" w:cs="宋体"/>
                <w:kern w:val="0"/>
                <w:sz w:val="18"/>
                <w:szCs w:val="18"/>
              </w:rPr>
            </w:pPr>
            <w:r>
              <w:rPr>
                <w:rFonts w:hint="eastAsia" w:ascii="宋体" w:hAnsi="宋体" w:eastAsia="宋体" w:cs="宋体"/>
                <w:kern w:val="0"/>
                <w:sz w:val="18"/>
                <w:szCs w:val="18"/>
              </w:rPr>
              <w:t>《国务院对确需保留的行政审批项目设定行政许可的决定》（国务院令第412号）</w:t>
            </w:r>
          </w:p>
          <w:p>
            <w:pPr>
              <w:widowControl/>
              <w:spacing w:line="190" w:lineRule="exact"/>
              <w:jc w:val="left"/>
              <w:rPr>
                <w:rFonts w:ascii="宋体" w:hAnsi="宋体" w:eastAsia="宋体" w:cs="宋体"/>
                <w:kern w:val="0"/>
                <w:sz w:val="18"/>
                <w:szCs w:val="18"/>
              </w:rPr>
            </w:pPr>
            <w:r>
              <w:rPr>
                <w:rFonts w:hint="eastAsia" w:ascii="宋体" w:hAnsi="宋体" w:eastAsia="宋体" w:cs="宋体"/>
                <w:kern w:val="0"/>
                <w:sz w:val="18"/>
                <w:szCs w:val="18"/>
              </w:rPr>
              <w:t>《工程造价咨询企业管理办法》（建设部令第149号）</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190" w:lineRule="exact"/>
              <w:rPr>
                <w:rFonts w:ascii="宋体" w:hAnsi="宋体" w:eastAsia="宋体" w:cs="宋体"/>
                <w:sz w:val="18"/>
                <w:szCs w:val="18"/>
              </w:rPr>
            </w:pPr>
            <w:r>
              <w:rPr>
                <w:rFonts w:hint="eastAsia"/>
                <w:sz w:val="18"/>
                <w:szCs w:val="18"/>
              </w:rPr>
              <w:t>工程造价咨询</w:t>
            </w:r>
          </w:p>
        </w:tc>
      </w:tr>
      <w:tr>
        <w:tblPrEx>
          <w:tblCellMar>
            <w:top w:w="0" w:type="dxa"/>
            <w:left w:w="108" w:type="dxa"/>
            <w:bottom w:w="0" w:type="dxa"/>
            <w:right w:w="108" w:type="dxa"/>
          </w:tblCellMar>
        </w:tblPrEx>
        <w:trPr>
          <w:cantSplit/>
          <w:trHeight w:val="503" w:hRule="atLeast"/>
          <w:jc w:val="center"/>
        </w:trPr>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b/>
                <w:bCs/>
                <w:kern w:val="0"/>
                <w:sz w:val="18"/>
                <w:szCs w:val="18"/>
              </w:rPr>
            </w:pPr>
            <w:r>
              <w:br w:type="page"/>
            </w:r>
            <w:r>
              <w:rPr>
                <w:rFonts w:hint="eastAsia" w:ascii="宋体" w:hAnsi="宋体" w:eastAsia="宋体" w:cs="宋体"/>
                <w:b/>
                <w:bCs/>
                <w:kern w:val="0"/>
                <w:sz w:val="18"/>
                <w:szCs w:val="18"/>
              </w:rPr>
              <w:t>序号</w:t>
            </w:r>
          </w:p>
        </w:tc>
        <w:tc>
          <w:tcPr>
            <w:tcW w:w="1116"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b/>
                <w:bCs/>
                <w:kern w:val="0"/>
                <w:sz w:val="18"/>
                <w:szCs w:val="18"/>
              </w:rPr>
            </w:pPr>
            <w:r>
              <w:rPr>
                <w:rFonts w:hint="eastAsia" w:ascii="宋体" w:hAnsi="宋体" w:eastAsia="宋体" w:cs="宋体"/>
                <w:b/>
                <w:bCs/>
                <w:kern w:val="0"/>
                <w:sz w:val="18"/>
                <w:szCs w:val="18"/>
              </w:rPr>
              <w:t>项目名称</w:t>
            </w:r>
          </w:p>
        </w:tc>
        <w:tc>
          <w:tcPr>
            <w:tcW w:w="1673" w:type="dxa"/>
            <w:tcBorders>
              <w:top w:val="single" w:color="auto" w:sz="4" w:space="0"/>
              <w:left w:val="nil"/>
              <w:bottom w:val="single" w:color="auto" w:sz="4" w:space="0"/>
              <w:right w:val="single" w:color="auto" w:sz="4" w:space="0"/>
            </w:tcBorders>
            <w:shd w:val="clear" w:color="000000" w:fill="FFFFFF"/>
            <w:vAlign w:val="center"/>
          </w:tcPr>
          <w:p>
            <w:pPr>
              <w:widowControl/>
              <w:spacing w:line="190" w:lineRule="exact"/>
              <w:jc w:val="center"/>
              <w:rPr>
                <w:rFonts w:ascii="宋体" w:hAnsi="宋体" w:eastAsia="宋体" w:cs="宋体"/>
                <w:b/>
                <w:bCs/>
                <w:kern w:val="0"/>
                <w:sz w:val="18"/>
                <w:szCs w:val="18"/>
              </w:rPr>
            </w:pPr>
            <w:r>
              <w:rPr>
                <w:rFonts w:hint="eastAsia" w:ascii="宋体" w:hAnsi="宋体" w:eastAsia="宋体" w:cs="宋体"/>
                <w:b/>
                <w:bCs/>
                <w:kern w:val="0"/>
                <w:sz w:val="18"/>
                <w:szCs w:val="18"/>
              </w:rPr>
              <w:t>实施机关</w:t>
            </w:r>
          </w:p>
        </w:tc>
        <w:tc>
          <w:tcPr>
            <w:tcW w:w="5002" w:type="dxa"/>
            <w:tcBorders>
              <w:top w:val="single" w:color="auto" w:sz="4" w:space="0"/>
              <w:left w:val="nil"/>
              <w:bottom w:val="single" w:color="auto" w:sz="4" w:space="0"/>
              <w:right w:val="single" w:color="auto" w:sz="4" w:space="0"/>
            </w:tcBorders>
            <w:shd w:val="clear" w:color="000000" w:fill="FFFFFF"/>
            <w:vAlign w:val="center"/>
          </w:tcPr>
          <w:p>
            <w:pPr>
              <w:widowControl/>
              <w:spacing w:line="190" w:lineRule="exact"/>
              <w:jc w:val="center"/>
              <w:rPr>
                <w:rFonts w:ascii="宋体" w:hAnsi="宋体" w:eastAsia="宋体" w:cs="宋体"/>
                <w:b/>
                <w:bCs/>
                <w:kern w:val="0"/>
                <w:sz w:val="18"/>
                <w:szCs w:val="18"/>
              </w:rPr>
            </w:pPr>
            <w:r>
              <w:rPr>
                <w:rFonts w:hint="eastAsia" w:ascii="宋体" w:hAnsi="宋体" w:eastAsia="宋体" w:cs="宋体"/>
                <w:b/>
                <w:bCs/>
                <w:kern w:val="0"/>
                <w:sz w:val="18"/>
                <w:szCs w:val="18"/>
              </w:rPr>
              <w:t xml:space="preserve">设定依据                                                                                         </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190" w:lineRule="exact"/>
              <w:rPr>
                <w:rFonts w:ascii="宋体" w:hAnsi="宋体" w:eastAsia="宋体" w:cs="宋体"/>
                <w:sz w:val="18"/>
                <w:szCs w:val="18"/>
              </w:rPr>
            </w:pPr>
            <w:r>
              <w:rPr>
                <w:rFonts w:hint="eastAsia" w:ascii="宋体" w:hAnsi="宋体" w:eastAsia="宋体" w:cs="宋体"/>
                <w:b/>
                <w:bCs/>
                <w:kern w:val="0"/>
                <w:sz w:val="18"/>
                <w:szCs w:val="18"/>
              </w:rPr>
              <w:t>检索关键词</w:t>
            </w:r>
          </w:p>
        </w:tc>
      </w:tr>
      <w:tr>
        <w:tblPrEx>
          <w:tblCellMar>
            <w:top w:w="0" w:type="dxa"/>
            <w:left w:w="108" w:type="dxa"/>
            <w:bottom w:w="0" w:type="dxa"/>
            <w:right w:w="108" w:type="dxa"/>
          </w:tblCellMar>
        </w:tblPrEx>
        <w:trPr>
          <w:cantSplit/>
          <w:trHeight w:val="694" w:hRule="atLeast"/>
          <w:jc w:val="center"/>
        </w:trPr>
        <w:tc>
          <w:tcPr>
            <w:tcW w:w="756" w:type="dxa"/>
            <w:tcBorders>
              <w:top w:val="nil"/>
              <w:left w:val="single" w:color="auto" w:sz="4" w:space="0"/>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kern w:val="0"/>
                <w:sz w:val="18"/>
                <w:szCs w:val="18"/>
              </w:rPr>
            </w:pPr>
            <w:r>
              <w:rPr>
                <w:rFonts w:hint="eastAsia" w:asciiTheme="minorEastAsia" w:hAnsiTheme="minorEastAsia"/>
                <w:sz w:val="18"/>
                <w:szCs w:val="18"/>
              </w:rPr>
              <w:t>54</w:t>
            </w:r>
          </w:p>
        </w:tc>
        <w:tc>
          <w:tcPr>
            <w:tcW w:w="1116" w:type="dxa"/>
            <w:tcBorders>
              <w:top w:val="nil"/>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城乡规划编制单位资质认定</w:t>
            </w:r>
          </w:p>
        </w:tc>
        <w:tc>
          <w:tcPr>
            <w:tcW w:w="1673" w:type="dxa"/>
            <w:tcBorders>
              <w:top w:val="nil"/>
              <w:left w:val="nil"/>
              <w:bottom w:val="single" w:color="auto" w:sz="4" w:space="0"/>
              <w:right w:val="single" w:color="auto" w:sz="4" w:space="0"/>
            </w:tcBorders>
            <w:shd w:val="clear" w:color="000000" w:fill="FFFFFF"/>
            <w:vAlign w:val="center"/>
          </w:tcPr>
          <w:p>
            <w:pPr>
              <w:widowControl/>
              <w:spacing w:line="190" w:lineRule="exact"/>
              <w:jc w:val="left"/>
              <w:rPr>
                <w:rFonts w:ascii="宋体" w:hAnsi="宋体" w:eastAsia="宋体" w:cs="宋体"/>
                <w:kern w:val="0"/>
                <w:sz w:val="18"/>
                <w:szCs w:val="18"/>
              </w:rPr>
            </w:pPr>
            <w:r>
              <w:rPr>
                <w:rFonts w:hint="eastAsia" w:ascii="宋体" w:hAnsi="宋体" w:eastAsia="宋体" w:cs="宋体"/>
                <w:kern w:val="0"/>
                <w:sz w:val="18"/>
                <w:szCs w:val="18"/>
              </w:rPr>
              <w:t>住房城乡建设部或省住房城乡建设厅</w:t>
            </w:r>
          </w:p>
        </w:tc>
        <w:tc>
          <w:tcPr>
            <w:tcW w:w="5002" w:type="dxa"/>
            <w:tcBorders>
              <w:top w:val="nil"/>
              <w:left w:val="nil"/>
              <w:bottom w:val="single" w:color="auto" w:sz="4" w:space="0"/>
              <w:right w:val="single" w:color="auto" w:sz="4" w:space="0"/>
            </w:tcBorders>
            <w:shd w:val="clear" w:color="000000" w:fill="FFFFFF"/>
            <w:vAlign w:val="center"/>
          </w:tcPr>
          <w:p>
            <w:pPr>
              <w:widowControl/>
              <w:spacing w:line="190" w:lineRule="exact"/>
              <w:jc w:val="left"/>
              <w:rPr>
                <w:rFonts w:ascii="宋体" w:hAnsi="宋体" w:eastAsia="宋体" w:cs="宋体"/>
                <w:kern w:val="0"/>
                <w:sz w:val="18"/>
                <w:szCs w:val="18"/>
              </w:rPr>
            </w:pPr>
            <w:r>
              <w:rPr>
                <w:rFonts w:hint="eastAsia" w:ascii="宋体" w:hAnsi="宋体" w:eastAsia="宋体" w:cs="宋体"/>
                <w:kern w:val="0"/>
                <w:sz w:val="18"/>
                <w:szCs w:val="18"/>
              </w:rPr>
              <w:t>《城乡规划法》</w:t>
            </w:r>
          </w:p>
          <w:p>
            <w:pPr>
              <w:widowControl/>
              <w:spacing w:line="190" w:lineRule="exact"/>
              <w:jc w:val="left"/>
              <w:rPr>
                <w:rFonts w:ascii="宋体" w:hAnsi="宋体" w:eastAsia="宋体" w:cs="宋体"/>
                <w:kern w:val="0"/>
                <w:sz w:val="18"/>
                <w:szCs w:val="18"/>
              </w:rPr>
            </w:pPr>
            <w:r>
              <w:rPr>
                <w:rFonts w:hint="eastAsia" w:ascii="宋体" w:hAnsi="宋体" w:eastAsia="宋体" w:cs="宋体"/>
                <w:kern w:val="0"/>
                <w:sz w:val="18"/>
                <w:szCs w:val="18"/>
              </w:rPr>
              <w:t>《城乡规划编制单位资质管理规定》（住房城乡建设部令第12号）</w:t>
            </w:r>
          </w:p>
        </w:tc>
        <w:tc>
          <w:tcPr>
            <w:tcW w:w="1261" w:type="dxa"/>
            <w:tcBorders>
              <w:top w:val="nil"/>
              <w:left w:val="nil"/>
              <w:bottom w:val="single" w:color="auto" w:sz="4" w:space="0"/>
              <w:right w:val="single" w:color="auto" w:sz="4" w:space="0"/>
            </w:tcBorders>
            <w:shd w:val="clear" w:color="000000" w:fill="FFFFFF"/>
            <w:vAlign w:val="center"/>
          </w:tcPr>
          <w:p>
            <w:pPr>
              <w:spacing w:line="190" w:lineRule="exact"/>
              <w:rPr>
                <w:rFonts w:ascii="宋体" w:hAnsi="宋体" w:eastAsia="宋体" w:cs="宋体"/>
                <w:sz w:val="18"/>
                <w:szCs w:val="18"/>
              </w:rPr>
            </w:pPr>
            <w:r>
              <w:rPr>
                <w:rFonts w:hint="eastAsia"/>
                <w:sz w:val="18"/>
                <w:szCs w:val="18"/>
              </w:rPr>
              <w:t>城乡规划</w:t>
            </w:r>
          </w:p>
        </w:tc>
      </w:tr>
      <w:tr>
        <w:tblPrEx>
          <w:tblCellMar>
            <w:top w:w="0" w:type="dxa"/>
            <w:left w:w="108" w:type="dxa"/>
            <w:bottom w:w="0" w:type="dxa"/>
            <w:right w:w="108" w:type="dxa"/>
          </w:tblCellMar>
        </w:tblPrEx>
        <w:trPr>
          <w:cantSplit/>
          <w:trHeight w:val="708" w:hRule="atLeast"/>
          <w:jc w:val="center"/>
        </w:trPr>
        <w:tc>
          <w:tcPr>
            <w:tcW w:w="756" w:type="dxa"/>
            <w:tcBorders>
              <w:top w:val="nil"/>
              <w:left w:val="single" w:color="auto" w:sz="4" w:space="0"/>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kern w:val="0"/>
                <w:sz w:val="18"/>
                <w:szCs w:val="18"/>
              </w:rPr>
            </w:pPr>
            <w:r>
              <w:rPr>
                <w:rFonts w:hint="eastAsia" w:ascii="宋体" w:hAnsi="宋体" w:eastAsia="宋体" w:cs="宋体"/>
                <w:kern w:val="0"/>
                <w:sz w:val="18"/>
                <w:szCs w:val="18"/>
              </w:rPr>
              <w:t>55</w:t>
            </w:r>
          </w:p>
        </w:tc>
        <w:tc>
          <w:tcPr>
            <w:tcW w:w="1116" w:type="dxa"/>
            <w:tcBorders>
              <w:top w:val="nil"/>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港口经营许可</w:t>
            </w:r>
          </w:p>
        </w:tc>
        <w:tc>
          <w:tcPr>
            <w:tcW w:w="1673" w:type="dxa"/>
            <w:tcBorders>
              <w:top w:val="nil"/>
              <w:left w:val="nil"/>
              <w:bottom w:val="single" w:color="auto" w:sz="4" w:space="0"/>
              <w:right w:val="single" w:color="auto" w:sz="4" w:space="0"/>
            </w:tcBorders>
            <w:shd w:val="clear" w:color="000000" w:fill="FFFFFF"/>
            <w:vAlign w:val="center"/>
          </w:tcPr>
          <w:p>
            <w:pPr>
              <w:widowControl/>
              <w:spacing w:line="190" w:lineRule="exact"/>
              <w:jc w:val="left"/>
              <w:rPr>
                <w:rFonts w:ascii="宋体" w:hAnsi="宋体" w:eastAsia="宋体" w:cs="宋体"/>
                <w:kern w:val="0"/>
                <w:sz w:val="18"/>
                <w:szCs w:val="18"/>
              </w:rPr>
            </w:pPr>
            <w:r>
              <w:rPr>
                <w:rFonts w:hint="eastAsia" w:ascii="宋体" w:hAnsi="宋体" w:eastAsia="宋体" w:cs="宋体"/>
                <w:kern w:val="0"/>
                <w:sz w:val="18"/>
                <w:szCs w:val="18"/>
              </w:rPr>
              <w:t>设区市港口行政管理部门</w:t>
            </w:r>
          </w:p>
        </w:tc>
        <w:tc>
          <w:tcPr>
            <w:tcW w:w="5002" w:type="dxa"/>
            <w:tcBorders>
              <w:top w:val="nil"/>
              <w:left w:val="nil"/>
              <w:bottom w:val="single" w:color="auto" w:sz="4" w:space="0"/>
              <w:right w:val="single" w:color="auto" w:sz="4" w:space="0"/>
            </w:tcBorders>
            <w:shd w:val="clear" w:color="000000" w:fill="FFFFFF"/>
            <w:vAlign w:val="center"/>
          </w:tcPr>
          <w:p>
            <w:pPr>
              <w:widowControl/>
              <w:spacing w:line="190" w:lineRule="exact"/>
              <w:jc w:val="left"/>
              <w:rPr>
                <w:rFonts w:ascii="宋体" w:hAnsi="宋体" w:eastAsia="宋体" w:cs="宋体"/>
                <w:kern w:val="0"/>
                <w:sz w:val="18"/>
                <w:szCs w:val="18"/>
              </w:rPr>
            </w:pPr>
            <w:r>
              <w:rPr>
                <w:rFonts w:hint="eastAsia" w:ascii="宋体" w:hAnsi="宋体" w:eastAsia="宋体" w:cs="宋体"/>
                <w:kern w:val="0"/>
                <w:sz w:val="18"/>
                <w:szCs w:val="18"/>
              </w:rPr>
              <w:t>《港口法》</w:t>
            </w:r>
          </w:p>
          <w:p>
            <w:pPr>
              <w:widowControl/>
              <w:spacing w:line="190" w:lineRule="exact"/>
              <w:jc w:val="left"/>
              <w:rPr>
                <w:rFonts w:ascii="宋体" w:hAnsi="宋体" w:eastAsia="宋体" w:cs="宋体"/>
                <w:kern w:val="0"/>
                <w:sz w:val="18"/>
                <w:szCs w:val="18"/>
              </w:rPr>
            </w:pPr>
            <w:r>
              <w:rPr>
                <w:rFonts w:hint="eastAsia" w:ascii="宋体" w:hAnsi="宋体" w:eastAsia="宋体" w:cs="宋体"/>
                <w:kern w:val="0"/>
                <w:sz w:val="18"/>
                <w:szCs w:val="18"/>
              </w:rPr>
              <w:t>《港口经营管理规定》（交通运输部令第22号）</w:t>
            </w:r>
          </w:p>
          <w:p>
            <w:pPr>
              <w:widowControl/>
              <w:spacing w:line="190" w:lineRule="exact"/>
              <w:jc w:val="left"/>
              <w:rPr>
                <w:rFonts w:ascii="宋体" w:hAnsi="宋体" w:eastAsia="宋体" w:cs="宋体"/>
                <w:kern w:val="0"/>
                <w:sz w:val="18"/>
                <w:szCs w:val="18"/>
              </w:rPr>
            </w:pPr>
            <w:r>
              <w:rPr>
                <w:rFonts w:hint="eastAsia" w:ascii="宋体" w:hAnsi="宋体" w:eastAsia="宋体" w:cs="宋体"/>
                <w:kern w:val="0"/>
                <w:sz w:val="18"/>
                <w:szCs w:val="18"/>
              </w:rPr>
              <w:t>《国务院关于取消和调整一批行政审批项目等事项的决定》（国发〔2014〕27号）</w:t>
            </w:r>
          </w:p>
        </w:tc>
        <w:tc>
          <w:tcPr>
            <w:tcW w:w="1261" w:type="dxa"/>
            <w:tcBorders>
              <w:top w:val="nil"/>
              <w:left w:val="nil"/>
              <w:bottom w:val="single" w:color="auto" w:sz="4" w:space="0"/>
              <w:right w:val="single" w:color="auto" w:sz="4" w:space="0"/>
            </w:tcBorders>
            <w:shd w:val="clear" w:color="000000" w:fill="FFFFFF"/>
            <w:vAlign w:val="center"/>
          </w:tcPr>
          <w:p>
            <w:pPr>
              <w:spacing w:line="190" w:lineRule="exact"/>
              <w:rPr>
                <w:rFonts w:ascii="宋体" w:hAnsi="宋体" w:eastAsia="宋体" w:cs="宋体"/>
                <w:sz w:val="18"/>
                <w:szCs w:val="18"/>
              </w:rPr>
            </w:pPr>
            <w:r>
              <w:rPr>
                <w:rFonts w:hint="eastAsia"/>
                <w:sz w:val="18"/>
                <w:szCs w:val="18"/>
              </w:rPr>
              <w:t>港口、码头</w:t>
            </w:r>
          </w:p>
        </w:tc>
      </w:tr>
      <w:tr>
        <w:tblPrEx>
          <w:tblCellMar>
            <w:top w:w="0" w:type="dxa"/>
            <w:left w:w="108" w:type="dxa"/>
            <w:bottom w:w="0" w:type="dxa"/>
            <w:right w:w="108" w:type="dxa"/>
          </w:tblCellMar>
        </w:tblPrEx>
        <w:trPr>
          <w:cantSplit/>
          <w:trHeight w:val="840" w:hRule="atLeast"/>
          <w:jc w:val="center"/>
        </w:trPr>
        <w:tc>
          <w:tcPr>
            <w:tcW w:w="756" w:type="dxa"/>
            <w:tcBorders>
              <w:top w:val="nil"/>
              <w:left w:val="single" w:color="auto" w:sz="4" w:space="0"/>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kern w:val="0"/>
                <w:sz w:val="18"/>
                <w:szCs w:val="18"/>
              </w:rPr>
            </w:pPr>
            <w:r>
              <w:rPr>
                <w:rFonts w:hint="eastAsia" w:ascii="宋体" w:hAnsi="宋体" w:eastAsia="宋体" w:cs="宋体"/>
                <w:kern w:val="0"/>
                <w:sz w:val="18"/>
                <w:szCs w:val="18"/>
              </w:rPr>
              <w:t>56</w:t>
            </w:r>
          </w:p>
        </w:tc>
        <w:tc>
          <w:tcPr>
            <w:tcW w:w="1116" w:type="dxa"/>
            <w:tcBorders>
              <w:top w:val="nil"/>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国际海上运输业务及海运辅助业务经营审批</w:t>
            </w:r>
          </w:p>
        </w:tc>
        <w:tc>
          <w:tcPr>
            <w:tcW w:w="1673" w:type="dxa"/>
            <w:tcBorders>
              <w:top w:val="nil"/>
              <w:left w:val="nil"/>
              <w:bottom w:val="single" w:color="auto" w:sz="4" w:space="0"/>
              <w:right w:val="single" w:color="auto" w:sz="4" w:space="0"/>
            </w:tcBorders>
            <w:shd w:val="clear" w:color="000000" w:fill="FFFFFF"/>
            <w:vAlign w:val="center"/>
          </w:tcPr>
          <w:p>
            <w:pPr>
              <w:widowControl/>
              <w:spacing w:line="190" w:lineRule="exact"/>
              <w:jc w:val="left"/>
              <w:rPr>
                <w:rFonts w:ascii="宋体" w:hAnsi="宋体" w:eastAsia="宋体" w:cs="宋体"/>
                <w:kern w:val="0"/>
                <w:sz w:val="18"/>
                <w:szCs w:val="18"/>
              </w:rPr>
            </w:pPr>
            <w:r>
              <w:rPr>
                <w:rFonts w:hint="eastAsia" w:ascii="宋体" w:hAnsi="宋体" w:eastAsia="宋体" w:cs="宋体"/>
                <w:kern w:val="0"/>
                <w:sz w:val="18"/>
                <w:szCs w:val="18"/>
              </w:rPr>
              <w:t>交通运输部</w:t>
            </w:r>
          </w:p>
        </w:tc>
        <w:tc>
          <w:tcPr>
            <w:tcW w:w="5002" w:type="dxa"/>
            <w:tcBorders>
              <w:top w:val="nil"/>
              <w:left w:val="nil"/>
              <w:bottom w:val="single" w:color="auto" w:sz="4" w:space="0"/>
              <w:right w:val="single" w:color="auto" w:sz="4" w:space="0"/>
            </w:tcBorders>
            <w:shd w:val="clear" w:color="000000" w:fill="FFFFFF"/>
            <w:vAlign w:val="center"/>
          </w:tcPr>
          <w:p>
            <w:pPr>
              <w:widowControl/>
              <w:spacing w:line="190" w:lineRule="exact"/>
              <w:jc w:val="left"/>
              <w:rPr>
                <w:rFonts w:ascii="宋体" w:hAnsi="宋体" w:eastAsia="宋体" w:cs="宋体"/>
                <w:kern w:val="0"/>
                <w:sz w:val="18"/>
                <w:szCs w:val="18"/>
              </w:rPr>
            </w:pPr>
            <w:r>
              <w:rPr>
                <w:rFonts w:hint="eastAsia" w:ascii="宋体" w:hAnsi="宋体" w:eastAsia="宋体" w:cs="宋体"/>
                <w:kern w:val="0"/>
                <w:sz w:val="18"/>
                <w:szCs w:val="18"/>
              </w:rPr>
              <w:t>《国际海运条例》（国务院令第335号）</w:t>
            </w:r>
          </w:p>
          <w:p>
            <w:pPr>
              <w:widowControl/>
              <w:spacing w:line="190" w:lineRule="exact"/>
              <w:jc w:val="left"/>
              <w:rPr>
                <w:rFonts w:ascii="宋体" w:hAnsi="宋体" w:eastAsia="宋体" w:cs="宋体"/>
                <w:kern w:val="0"/>
                <w:sz w:val="18"/>
                <w:szCs w:val="18"/>
              </w:rPr>
            </w:pPr>
            <w:r>
              <w:rPr>
                <w:rFonts w:hint="eastAsia" w:ascii="宋体" w:hAnsi="宋体" w:eastAsia="宋体" w:cs="宋体"/>
                <w:kern w:val="0"/>
                <w:sz w:val="18"/>
                <w:szCs w:val="18"/>
              </w:rPr>
              <w:t>《国务院关于取消和调整一批行政审批项目等事项的决定》（国发〔2014〕27号）</w:t>
            </w:r>
          </w:p>
        </w:tc>
        <w:tc>
          <w:tcPr>
            <w:tcW w:w="1261" w:type="dxa"/>
            <w:tcBorders>
              <w:top w:val="nil"/>
              <w:left w:val="nil"/>
              <w:bottom w:val="single" w:color="auto" w:sz="4" w:space="0"/>
              <w:right w:val="single" w:color="auto" w:sz="4" w:space="0"/>
            </w:tcBorders>
            <w:shd w:val="clear" w:color="000000" w:fill="FFFFFF"/>
            <w:vAlign w:val="center"/>
          </w:tcPr>
          <w:p>
            <w:pPr>
              <w:spacing w:line="190" w:lineRule="exact"/>
              <w:rPr>
                <w:rFonts w:ascii="宋体" w:hAnsi="宋体" w:eastAsia="宋体" w:cs="宋体"/>
                <w:sz w:val="18"/>
                <w:szCs w:val="18"/>
              </w:rPr>
            </w:pPr>
            <w:r>
              <w:rPr>
                <w:rFonts w:hint="eastAsia"/>
                <w:sz w:val="18"/>
                <w:szCs w:val="18"/>
              </w:rPr>
              <w:t>海上运输</w:t>
            </w:r>
          </w:p>
        </w:tc>
      </w:tr>
      <w:tr>
        <w:tblPrEx>
          <w:tblCellMar>
            <w:top w:w="0" w:type="dxa"/>
            <w:left w:w="108" w:type="dxa"/>
            <w:bottom w:w="0" w:type="dxa"/>
            <w:right w:w="108" w:type="dxa"/>
          </w:tblCellMar>
        </w:tblPrEx>
        <w:trPr>
          <w:cantSplit/>
          <w:trHeight w:val="1492" w:hRule="atLeast"/>
          <w:jc w:val="center"/>
        </w:trPr>
        <w:tc>
          <w:tcPr>
            <w:tcW w:w="756" w:type="dxa"/>
            <w:tcBorders>
              <w:top w:val="nil"/>
              <w:left w:val="single" w:color="auto" w:sz="4" w:space="0"/>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kern w:val="0"/>
                <w:sz w:val="18"/>
                <w:szCs w:val="18"/>
              </w:rPr>
            </w:pPr>
            <w:r>
              <w:rPr>
                <w:rFonts w:hint="eastAsia" w:ascii="宋体" w:hAnsi="宋体" w:eastAsia="宋体" w:cs="宋体"/>
                <w:kern w:val="0"/>
                <w:sz w:val="18"/>
                <w:szCs w:val="18"/>
              </w:rPr>
              <w:t>57</w:t>
            </w:r>
          </w:p>
        </w:tc>
        <w:tc>
          <w:tcPr>
            <w:tcW w:w="1116" w:type="dxa"/>
            <w:tcBorders>
              <w:top w:val="nil"/>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从事内地与港澳间客船（含客滚船、客货船等）、散装液体危险品船运输业务许可</w:t>
            </w:r>
          </w:p>
        </w:tc>
        <w:tc>
          <w:tcPr>
            <w:tcW w:w="1673" w:type="dxa"/>
            <w:tcBorders>
              <w:top w:val="nil"/>
              <w:left w:val="nil"/>
              <w:bottom w:val="single" w:color="auto" w:sz="4" w:space="0"/>
              <w:right w:val="single" w:color="auto" w:sz="4" w:space="0"/>
            </w:tcBorders>
            <w:shd w:val="clear" w:color="000000" w:fill="FFFFFF"/>
            <w:vAlign w:val="center"/>
          </w:tcPr>
          <w:p>
            <w:pPr>
              <w:widowControl/>
              <w:spacing w:line="190" w:lineRule="exact"/>
              <w:jc w:val="left"/>
              <w:rPr>
                <w:rFonts w:ascii="宋体" w:hAnsi="宋体" w:eastAsia="宋体" w:cs="宋体"/>
                <w:kern w:val="0"/>
                <w:sz w:val="18"/>
                <w:szCs w:val="18"/>
              </w:rPr>
            </w:pPr>
            <w:r>
              <w:rPr>
                <w:rFonts w:hint="eastAsia" w:ascii="宋体" w:hAnsi="宋体" w:eastAsia="宋体" w:cs="宋体"/>
                <w:kern w:val="0"/>
                <w:sz w:val="18"/>
                <w:szCs w:val="18"/>
              </w:rPr>
              <w:t>省交通运输厅</w:t>
            </w:r>
          </w:p>
        </w:tc>
        <w:tc>
          <w:tcPr>
            <w:tcW w:w="5002" w:type="dxa"/>
            <w:tcBorders>
              <w:top w:val="nil"/>
              <w:left w:val="nil"/>
              <w:bottom w:val="single" w:color="auto" w:sz="4" w:space="0"/>
              <w:right w:val="single" w:color="auto" w:sz="4" w:space="0"/>
            </w:tcBorders>
            <w:shd w:val="clear" w:color="000000" w:fill="FFFFFF"/>
            <w:vAlign w:val="center"/>
          </w:tcPr>
          <w:p>
            <w:pPr>
              <w:widowControl/>
              <w:spacing w:line="190" w:lineRule="exact"/>
              <w:jc w:val="left"/>
              <w:rPr>
                <w:rFonts w:ascii="宋体" w:hAnsi="宋体" w:eastAsia="宋体" w:cs="宋体"/>
                <w:kern w:val="0"/>
                <w:sz w:val="18"/>
                <w:szCs w:val="18"/>
              </w:rPr>
            </w:pPr>
            <w:r>
              <w:rPr>
                <w:rFonts w:hint="eastAsia" w:ascii="宋体" w:hAnsi="宋体" w:eastAsia="宋体" w:cs="宋体"/>
                <w:kern w:val="0"/>
                <w:sz w:val="18"/>
                <w:szCs w:val="18"/>
              </w:rPr>
              <w:t>《国际海运条例》（国务院令第335号）</w:t>
            </w:r>
          </w:p>
          <w:p>
            <w:pPr>
              <w:widowControl/>
              <w:spacing w:line="190" w:lineRule="exact"/>
              <w:jc w:val="left"/>
              <w:rPr>
                <w:rFonts w:ascii="宋体" w:hAnsi="宋体" w:eastAsia="宋体" w:cs="宋体"/>
                <w:kern w:val="0"/>
                <w:sz w:val="18"/>
                <w:szCs w:val="18"/>
              </w:rPr>
            </w:pPr>
            <w:r>
              <w:rPr>
                <w:rFonts w:hint="eastAsia" w:ascii="宋体" w:hAnsi="宋体" w:eastAsia="宋体" w:cs="宋体"/>
                <w:kern w:val="0"/>
                <w:sz w:val="18"/>
                <w:szCs w:val="18"/>
              </w:rPr>
              <w:t>《国务院对确需保留的行政审批项目设定行政许可的决定》（国务院令第412号）</w:t>
            </w:r>
          </w:p>
          <w:p>
            <w:pPr>
              <w:widowControl/>
              <w:spacing w:line="190" w:lineRule="exact"/>
              <w:jc w:val="left"/>
              <w:rPr>
                <w:rFonts w:ascii="宋体" w:hAnsi="宋体" w:eastAsia="宋体" w:cs="宋体"/>
                <w:kern w:val="0"/>
                <w:sz w:val="18"/>
                <w:szCs w:val="18"/>
              </w:rPr>
            </w:pPr>
            <w:r>
              <w:rPr>
                <w:rFonts w:hint="eastAsia" w:ascii="宋体" w:hAnsi="宋体" w:eastAsia="宋体" w:cs="宋体"/>
                <w:kern w:val="0"/>
                <w:sz w:val="18"/>
                <w:szCs w:val="18"/>
              </w:rPr>
              <w:t>《国务院关于取消和调整一批行政审批项目等事项的决定》（国发〔2014〕50号）</w:t>
            </w:r>
          </w:p>
        </w:tc>
        <w:tc>
          <w:tcPr>
            <w:tcW w:w="1261" w:type="dxa"/>
            <w:tcBorders>
              <w:top w:val="nil"/>
              <w:left w:val="nil"/>
              <w:bottom w:val="single" w:color="auto" w:sz="4" w:space="0"/>
              <w:right w:val="single" w:color="auto" w:sz="4" w:space="0"/>
            </w:tcBorders>
            <w:shd w:val="clear" w:color="000000" w:fill="FFFFFF"/>
            <w:vAlign w:val="center"/>
          </w:tcPr>
          <w:p>
            <w:pPr>
              <w:spacing w:line="190" w:lineRule="exact"/>
              <w:rPr>
                <w:rFonts w:ascii="宋体" w:hAnsi="宋体" w:eastAsia="宋体" w:cs="宋体"/>
                <w:sz w:val="18"/>
                <w:szCs w:val="18"/>
              </w:rPr>
            </w:pPr>
            <w:r>
              <w:rPr>
                <w:rFonts w:hint="eastAsia"/>
                <w:sz w:val="18"/>
                <w:szCs w:val="18"/>
              </w:rPr>
              <w:t>海上运输</w:t>
            </w:r>
          </w:p>
        </w:tc>
      </w:tr>
      <w:tr>
        <w:tblPrEx>
          <w:tblCellMar>
            <w:top w:w="0" w:type="dxa"/>
            <w:left w:w="108" w:type="dxa"/>
            <w:bottom w:w="0" w:type="dxa"/>
            <w:right w:w="108" w:type="dxa"/>
          </w:tblCellMar>
        </w:tblPrEx>
        <w:trPr>
          <w:cantSplit/>
          <w:trHeight w:val="590" w:hRule="atLeast"/>
          <w:jc w:val="center"/>
        </w:trPr>
        <w:tc>
          <w:tcPr>
            <w:tcW w:w="756" w:type="dxa"/>
            <w:tcBorders>
              <w:top w:val="nil"/>
              <w:left w:val="single" w:color="auto" w:sz="4" w:space="0"/>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kern w:val="0"/>
                <w:sz w:val="18"/>
                <w:szCs w:val="18"/>
              </w:rPr>
            </w:pPr>
            <w:r>
              <w:rPr>
                <w:rFonts w:hint="eastAsia" w:ascii="宋体" w:hAnsi="宋体" w:eastAsia="宋体" w:cs="宋体"/>
                <w:kern w:val="0"/>
                <w:sz w:val="18"/>
                <w:szCs w:val="18"/>
              </w:rPr>
              <w:t>58</w:t>
            </w:r>
          </w:p>
        </w:tc>
        <w:tc>
          <w:tcPr>
            <w:tcW w:w="1116" w:type="dxa"/>
            <w:tcBorders>
              <w:top w:val="nil"/>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船舶管理业务经营审批</w:t>
            </w:r>
          </w:p>
        </w:tc>
        <w:tc>
          <w:tcPr>
            <w:tcW w:w="1673" w:type="dxa"/>
            <w:tcBorders>
              <w:top w:val="nil"/>
              <w:left w:val="nil"/>
              <w:bottom w:val="single" w:color="auto" w:sz="4" w:space="0"/>
              <w:right w:val="single" w:color="auto" w:sz="4" w:space="0"/>
            </w:tcBorders>
            <w:shd w:val="clear" w:color="000000" w:fill="FFFFFF"/>
            <w:vAlign w:val="center"/>
          </w:tcPr>
          <w:p>
            <w:pPr>
              <w:widowControl/>
              <w:spacing w:line="190" w:lineRule="exact"/>
              <w:jc w:val="left"/>
              <w:rPr>
                <w:rFonts w:ascii="宋体" w:hAnsi="宋体" w:eastAsia="宋体" w:cs="宋体"/>
                <w:kern w:val="0"/>
                <w:sz w:val="18"/>
                <w:szCs w:val="18"/>
              </w:rPr>
            </w:pPr>
            <w:r>
              <w:rPr>
                <w:rFonts w:hint="eastAsia" w:ascii="宋体" w:hAnsi="宋体" w:eastAsia="宋体" w:cs="宋体"/>
                <w:kern w:val="0"/>
                <w:sz w:val="18"/>
                <w:szCs w:val="18"/>
              </w:rPr>
              <w:t>省交通运输厅</w:t>
            </w:r>
          </w:p>
        </w:tc>
        <w:tc>
          <w:tcPr>
            <w:tcW w:w="5002" w:type="dxa"/>
            <w:tcBorders>
              <w:top w:val="nil"/>
              <w:left w:val="nil"/>
              <w:bottom w:val="single" w:color="auto" w:sz="4" w:space="0"/>
              <w:right w:val="single" w:color="auto" w:sz="4" w:space="0"/>
            </w:tcBorders>
            <w:shd w:val="clear" w:color="000000" w:fill="FFFFFF"/>
            <w:vAlign w:val="center"/>
          </w:tcPr>
          <w:p>
            <w:pPr>
              <w:widowControl/>
              <w:spacing w:line="190" w:lineRule="exact"/>
              <w:jc w:val="left"/>
              <w:rPr>
                <w:rFonts w:ascii="宋体" w:hAnsi="宋体" w:eastAsia="宋体" w:cs="宋体"/>
                <w:kern w:val="0"/>
                <w:sz w:val="18"/>
                <w:szCs w:val="18"/>
              </w:rPr>
            </w:pPr>
            <w:r>
              <w:rPr>
                <w:rFonts w:hint="eastAsia" w:ascii="宋体" w:hAnsi="宋体" w:eastAsia="宋体" w:cs="宋体"/>
                <w:kern w:val="0"/>
                <w:sz w:val="18"/>
                <w:szCs w:val="18"/>
              </w:rPr>
              <w:t xml:space="preserve">《国内水路运输管理条例》(国务院令第625号）                                                        </w:t>
            </w:r>
          </w:p>
        </w:tc>
        <w:tc>
          <w:tcPr>
            <w:tcW w:w="1261" w:type="dxa"/>
            <w:tcBorders>
              <w:top w:val="nil"/>
              <w:left w:val="nil"/>
              <w:bottom w:val="single" w:color="auto" w:sz="4" w:space="0"/>
              <w:right w:val="single" w:color="auto" w:sz="4" w:space="0"/>
            </w:tcBorders>
            <w:shd w:val="clear" w:color="000000" w:fill="FFFFFF"/>
            <w:vAlign w:val="center"/>
          </w:tcPr>
          <w:p>
            <w:pPr>
              <w:spacing w:line="190" w:lineRule="exact"/>
              <w:rPr>
                <w:rFonts w:ascii="宋体" w:hAnsi="宋体" w:eastAsia="宋体" w:cs="宋体"/>
                <w:sz w:val="18"/>
                <w:szCs w:val="18"/>
              </w:rPr>
            </w:pPr>
            <w:r>
              <w:rPr>
                <w:rFonts w:hint="eastAsia"/>
                <w:sz w:val="18"/>
                <w:szCs w:val="18"/>
              </w:rPr>
              <w:t>船舶管理</w:t>
            </w:r>
          </w:p>
        </w:tc>
      </w:tr>
      <w:tr>
        <w:tblPrEx>
          <w:tblCellMar>
            <w:top w:w="0" w:type="dxa"/>
            <w:left w:w="108" w:type="dxa"/>
            <w:bottom w:w="0" w:type="dxa"/>
            <w:right w:w="108" w:type="dxa"/>
          </w:tblCellMar>
        </w:tblPrEx>
        <w:trPr>
          <w:cantSplit/>
          <w:trHeight w:val="788" w:hRule="atLeast"/>
          <w:jc w:val="center"/>
        </w:trPr>
        <w:tc>
          <w:tcPr>
            <w:tcW w:w="756" w:type="dxa"/>
            <w:tcBorders>
              <w:top w:val="nil"/>
              <w:left w:val="single" w:color="auto" w:sz="4" w:space="0"/>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kern w:val="0"/>
                <w:sz w:val="18"/>
                <w:szCs w:val="18"/>
              </w:rPr>
            </w:pPr>
            <w:r>
              <w:rPr>
                <w:rFonts w:hint="eastAsia" w:ascii="宋体" w:hAnsi="宋体" w:eastAsia="宋体" w:cs="宋体"/>
                <w:kern w:val="0"/>
                <w:sz w:val="18"/>
                <w:szCs w:val="18"/>
              </w:rPr>
              <w:t>59</w:t>
            </w:r>
          </w:p>
        </w:tc>
        <w:tc>
          <w:tcPr>
            <w:tcW w:w="1116" w:type="dxa"/>
            <w:tcBorders>
              <w:top w:val="nil"/>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 xml:space="preserve">国内水路运输、水路运输业务经营审批 </w:t>
            </w:r>
          </w:p>
        </w:tc>
        <w:tc>
          <w:tcPr>
            <w:tcW w:w="1673" w:type="dxa"/>
            <w:tcBorders>
              <w:top w:val="nil"/>
              <w:left w:val="nil"/>
              <w:bottom w:val="single" w:color="auto" w:sz="4" w:space="0"/>
              <w:right w:val="single" w:color="auto" w:sz="4" w:space="0"/>
            </w:tcBorders>
            <w:shd w:val="clear" w:color="000000" w:fill="FFFFFF"/>
            <w:vAlign w:val="center"/>
          </w:tcPr>
          <w:p>
            <w:pPr>
              <w:widowControl/>
              <w:spacing w:line="190" w:lineRule="exact"/>
              <w:jc w:val="left"/>
              <w:rPr>
                <w:rFonts w:ascii="宋体" w:hAnsi="宋体" w:eastAsia="宋体" w:cs="宋体"/>
                <w:kern w:val="0"/>
                <w:sz w:val="18"/>
                <w:szCs w:val="18"/>
              </w:rPr>
            </w:pPr>
            <w:r>
              <w:rPr>
                <w:rFonts w:hint="eastAsia" w:ascii="宋体" w:hAnsi="宋体" w:eastAsia="宋体" w:cs="宋体"/>
                <w:kern w:val="0"/>
                <w:sz w:val="18"/>
                <w:szCs w:val="18"/>
              </w:rPr>
              <w:t>交通运输部、省、设区市交通运输主管部门</w:t>
            </w:r>
          </w:p>
        </w:tc>
        <w:tc>
          <w:tcPr>
            <w:tcW w:w="5002" w:type="dxa"/>
            <w:tcBorders>
              <w:top w:val="nil"/>
              <w:left w:val="nil"/>
              <w:bottom w:val="single" w:color="auto" w:sz="4" w:space="0"/>
              <w:right w:val="single" w:color="auto" w:sz="4" w:space="0"/>
            </w:tcBorders>
            <w:shd w:val="clear" w:color="000000" w:fill="FFFFFF"/>
            <w:vAlign w:val="center"/>
          </w:tcPr>
          <w:p>
            <w:pPr>
              <w:widowControl/>
              <w:spacing w:line="190" w:lineRule="exact"/>
              <w:jc w:val="left"/>
              <w:rPr>
                <w:rFonts w:ascii="宋体" w:hAnsi="宋体" w:eastAsia="宋体" w:cs="宋体"/>
                <w:kern w:val="0"/>
                <w:sz w:val="18"/>
                <w:szCs w:val="18"/>
              </w:rPr>
            </w:pPr>
            <w:r>
              <w:rPr>
                <w:rFonts w:hint="eastAsia" w:ascii="宋体" w:hAnsi="宋体" w:eastAsia="宋体" w:cs="宋体"/>
                <w:kern w:val="0"/>
                <w:sz w:val="18"/>
                <w:szCs w:val="18"/>
              </w:rPr>
              <w:t>《国内水路运输管理条例》(国务院令第625号）</w:t>
            </w:r>
          </w:p>
          <w:p>
            <w:pPr>
              <w:widowControl/>
              <w:spacing w:line="190" w:lineRule="exact"/>
              <w:jc w:val="left"/>
              <w:rPr>
                <w:rFonts w:ascii="宋体" w:hAnsi="宋体" w:eastAsia="宋体" w:cs="宋体"/>
                <w:kern w:val="0"/>
                <w:sz w:val="18"/>
                <w:szCs w:val="18"/>
              </w:rPr>
            </w:pPr>
            <w:r>
              <w:rPr>
                <w:rFonts w:hint="eastAsia" w:ascii="宋体" w:hAnsi="宋体" w:eastAsia="宋体" w:cs="宋体"/>
                <w:kern w:val="0"/>
                <w:sz w:val="18"/>
                <w:szCs w:val="18"/>
              </w:rPr>
              <w:t>《国务院关于取消和调整一批行政审批项目等事项的决定》（国发〔2014〕27号）</w:t>
            </w:r>
          </w:p>
        </w:tc>
        <w:tc>
          <w:tcPr>
            <w:tcW w:w="1261" w:type="dxa"/>
            <w:tcBorders>
              <w:top w:val="nil"/>
              <w:left w:val="nil"/>
              <w:bottom w:val="single" w:color="auto" w:sz="4" w:space="0"/>
              <w:right w:val="single" w:color="auto" w:sz="4" w:space="0"/>
            </w:tcBorders>
            <w:shd w:val="clear" w:color="000000" w:fill="FFFFFF"/>
            <w:vAlign w:val="center"/>
          </w:tcPr>
          <w:p>
            <w:pPr>
              <w:spacing w:line="190" w:lineRule="exact"/>
              <w:rPr>
                <w:rFonts w:ascii="宋体" w:hAnsi="宋体" w:eastAsia="宋体" w:cs="宋体"/>
                <w:sz w:val="18"/>
                <w:szCs w:val="18"/>
              </w:rPr>
            </w:pPr>
            <w:r>
              <w:rPr>
                <w:rFonts w:hint="eastAsia"/>
                <w:sz w:val="18"/>
                <w:szCs w:val="18"/>
              </w:rPr>
              <w:t>水路运输</w:t>
            </w:r>
          </w:p>
        </w:tc>
      </w:tr>
      <w:tr>
        <w:tblPrEx>
          <w:tblCellMar>
            <w:top w:w="0" w:type="dxa"/>
            <w:left w:w="108" w:type="dxa"/>
            <w:bottom w:w="0" w:type="dxa"/>
            <w:right w:w="108" w:type="dxa"/>
          </w:tblCellMar>
        </w:tblPrEx>
        <w:trPr>
          <w:cantSplit/>
          <w:trHeight w:val="868" w:hRule="atLeast"/>
          <w:jc w:val="center"/>
        </w:trPr>
        <w:tc>
          <w:tcPr>
            <w:tcW w:w="756" w:type="dxa"/>
            <w:tcBorders>
              <w:top w:val="nil"/>
              <w:left w:val="single" w:color="auto" w:sz="4" w:space="0"/>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kern w:val="0"/>
                <w:sz w:val="18"/>
                <w:szCs w:val="18"/>
              </w:rPr>
            </w:pPr>
            <w:r>
              <w:rPr>
                <w:rFonts w:hint="eastAsia" w:ascii="宋体" w:hAnsi="宋体" w:eastAsia="宋体" w:cs="宋体"/>
                <w:kern w:val="0"/>
                <w:sz w:val="18"/>
                <w:szCs w:val="18"/>
              </w:rPr>
              <w:t>60</w:t>
            </w:r>
          </w:p>
        </w:tc>
        <w:tc>
          <w:tcPr>
            <w:tcW w:w="1116" w:type="dxa"/>
            <w:tcBorders>
              <w:top w:val="nil"/>
              <w:left w:val="nil"/>
              <w:bottom w:val="single" w:color="auto" w:sz="4" w:space="0"/>
              <w:right w:val="single" w:color="auto" w:sz="4" w:space="0"/>
            </w:tcBorders>
            <w:shd w:val="clear" w:color="000000" w:fill="FFFFFF"/>
            <w:vAlign w:val="center"/>
          </w:tcPr>
          <w:p>
            <w:pPr>
              <w:widowControl/>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经营港口理货业务许可</w:t>
            </w:r>
          </w:p>
        </w:tc>
        <w:tc>
          <w:tcPr>
            <w:tcW w:w="1673" w:type="dxa"/>
            <w:tcBorders>
              <w:top w:val="nil"/>
              <w:left w:val="nil"/>
              <w:bottom w:val="single" w:color="auto" w:sz="4" w:space="0"/>
              <w:right w:val="single" w:color="auto" w:sz="4" w:space="0"/>
            </w:tcBorders>
            <w:shd w:val="clear" w:color="000000" w:fill="FFFFFF"/>
            <w:vAlign w:val="center"/>
          </w:tcPr>
          <w:p>
            <w:pPr>
              <w:widowControl/>
              <w:spacing w:line="190" w:lineRule="exact"/>
              <w:jc w:val="left"/>
              <w:rPr>
                <w:rFonts w:ascii="宋体" w:hAnsi="宋体" w:eastAsia="宋体" w:cs="宋体"/>
                <w:kern w:val="0"/>
                <w:sz w:val="18"/>
                <w:szCs w:val="18"/>
              </w:rPr>
            </w:pPr>
            <w:r>
              <w:rPr>
                <w:rFonts w:hint="eastAsia" w:ascii="宋体" w:hAnsi="宋体" w:eastAsia="宋体" w:cs="宋体"/>
                <w:kern w:val="0"/>
                <w:sz w:val="18"/>
                <w:szCs w:val="18"/>
              </w:rPr>
              <w:t>省交通运输厅</w:t>
            </w:r>
          </w:p>
        </w:tc>
        <w:tc>
          <w:tcPr>
            <w:tcW w:w="5002" w:type="dxa"/>
            <w:tcBorders>
              <w:top w:val="nil"/>
              <w:left w:val="nil"/>
              <w:bottom w:val="single" w:color="auto" w:sz="4" w:space="0"/>
              <w:right w:val="single" w:color="auto" w:sz="4" w:space="0"/>
            </w:tcBorders>
            <w:shd w:val="clear" w:color="000000" w:fill="FFFFFF"/>
            <w:vAlign w:val="center"/>
          </w:tcPr>
          <w:p>
            <w:pPr>
              <w:widowControl/>
              <w:spacing w:line="190" w:lineRule="exact"/>
              <w:jc w:val="left"/>
              <w:rPr>
                <w:rFonts w:ascii="宋体" w:hAnsi="宋体" w:eastAsia="宋体" w:cs="宋体"/>
                <w:kern w:val="0"/>
                <w:sz w:val="18"/>
                <w:szCs w:val="18"/>
              </w:rPr>
            </w:pPr>
            <w:r>
              <w:rPr>
                <w:rFonts w:hint="eastAsia" w:ascii="宋体" w:hAnsi="宋体" w:eastAsia="宋体" w:cs="宋体"/>
                <w:kern w:val="0"/>
                <w:sz w:val="18"/>
                <w:szCs w:val="18"/>
              </w:rPr>
              <w:t>《港口法》</w:t>
            </w:r>
          </w:p>
          <w:p>
            <w:pPr>
              <w:widowControl/>
              <w:spacing w:line="190" w:lineRule="exact"/>
              <w:jc w:val="left"/>
              <w:rPr>
                <w:rFonts w:ascii="宋体" w:hAnsi="宋体" w:eastAsia="宋体" w:cs="宋体"/>
                <w:kern w:val="0"/>
                <w:sz w:val="18"/>
                <w:szCs w:val="18"/>
              </w:rPr>
            </w:pPr>
            <w:r>
              <w:rPr>
                <w:rFonts w:hint="eastAsia" w:ascii="宋体" w:hAnsi="宋体" w:eastAsia="宋体" w:cs="宋体"/>
                <w:kern w:val="0"/>
                <w:sz w:val="18"/>
                <w:szCs w:val="18"/>
              </w:rPr>
              <w:t>《港口经营管理规定》（交通运输部令第22号）</w:t>
            </w:r>
          </w:p>
          <w:p>
            <w:pPr>
              <w:widowControl/>
              <w:spacing w:line="190" w:lineRule="exact"/>
              <w:jc w:val="left"/>
              <w:rPr>
                <w:rFonts w:ascii="宋体" w:hAnsi="宋体" w:eastAsia="宋体" w:cs="宋体"/>
                <w:kern w:val="0"/>
                <w:sz w:val="18"/>
                <w:szCs w:val="18"/>
              </w:rPr>
            </w:pPr>
            <w:r>
              <w:rPr>
                <w:rFonts w:hint="eastAsia" w:ascii="宋体" w:hAnsi="宋体" w:eastAsia="宋体" w:cs="宋体"/>
                <w:kern w:val="0"/>
                <w:sz w:val="18"/>
                <w:szCs w:val="18"/>
              </w:rPr>
              <w:t>《国务院关于取消和调整一批行政审批项目等事项的决定》（国发〔2014〕50号）</w:t>
            </w:r>
          </w:p>
        </w:tc>
        <w:tc>
          <w:tcPr>
            <w:tcW w:w="1261" w:type="dxa"/>
            <w:tcBorders>
              <w:top w:val="nil"/>
              <w:left w:val="nil"/>
              <w:bottom w:val="single" w:color="auto" w:sz="4" w:space="0"/>
              <w:right w:val="single" w:color="auto" w:sz="4" w:space="0"/>
            </w:tcBorders>
            <w:shd w:val="clear" w:color="000000" w:fill="FFFFFF"/>
            <w:vAlign w:val="center"/>
          </w:tcPr>
          <w:p>
            <w:pPr>
              <w:spacing w:line="190" w:lineRule="exact"/>
              <w:rPr>
                <w:rFonts w:ascii="宋体" w:hAnsi="宋体" w:eastAsia="宋体" w:cs="宋体"/>
                <w:sz w:val="18"/>
                <w:szCs w:val="18"/>
              </w:rPr>
            </w:pPr>
            <w:r>
              <w:rPr>
                <w:rFonts w:hint="eastAsia"/>
                <w:sz w:val="18"/>
                <w:szCs w:val="18"/>
              </w:rPr>
              <w:t>港口理货</w:t>
            </w:r>
          </w:p>
        </w:tc>
      </w:tr>
      <w:tr>
        <w:tblPrEx>
          <w:tblCellMar>
            <w:top w:w="0" w:type="dxa"/>
            <w:left w:w="108" w:type="dxa"/>
            <w:bottom w:w="0" w:type="dxa"/>
            <w:right w:w="108" w:type="dxa"/>
          </w:tblCellMar>
        </w:tblPrEx>
        <w:trPr>
          <w:cantSplit/>
          <w:trHeight w:val="1121" w:hRule="atLeast"/>
          <w:jc w:val="center"/>
        </w:trPr>
        <w:tc>
          <w:tcPr>
            <w:tcW w:w="756" w:type="dxa"/>
            <w:tcBorders>
              <w:top w:val="nil"/>
              <w:left w:val="single" w:color="auto" w:sz="4" w:space="0"/>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kern w:val="0"/>
                <w:sz w:val="18"/>
                <w:szCs w:val="18"/>
              </w:rPr>
            </w:pPr>
            <w:r>
              <w:rPr>
                <w:rFonts w:hint="eastAsia" w:ascii="宋体" w:hAnsi="宋体" w:eastAsia="宋体" w:cs="宋体"/>
                <w:kern w:val="0"/>
                <w:sz w:val="18"/>
                <w:szCs w:val="18"/>
              </w:rPr>
              <w:t>61</w:t>
            </w:r>
          </w:p>
        </w:tc>
        <w:tc>
          <w:tcPr>
            <w:tcW w:w="1116" w:type="dxa"/>
            <w:tcBorders>
              <w:top w:val="nil"/>
              <w:left w:val="nil"/>
              <w:bottom w:val="single" w:color="auto" w:sz="4" w:space="0"/>
              <w:right w:val="single" w:color="auto" w:sz="4" w:space="0"/>
            </w:tcBorders>
            <w:shd w:val="clear" w:color="000000" w:fill="FFFFFF"/>
            <w:vAlign w:val="center"/>
          </w:tcPr>
          <w:p>
            <w:pPr>
              <w:widowControl/>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从事国际道路运输审批（国际道路货物运输除外）</w:t>
            </w:r>
          </w:p>
        </w:tc>
        <w:tc>
          <w:tcPr>
            <w:tcW w:w="1673" w:type="dxa"/>
            <w:tcBorders>
              <w:top w:val="nil"/>
              <w:left w:val="nil"/>
              <w:bottom w:val="single" w:color="auto" w:sz="4" w:space="0"/>
              <w:right w:val="single" w:color="auto" w:sz="4" w:space="0"/>
            </w:tcBorders>
            <w:shd w:val="clear" w:color="000000" w:fill="FFFFFF"/>
            <w:vAlign w:val="center"/>
          </w:tcPr>
          <w:p>
            <w:pPr>
              <w:widowControl/>
              <w:spacing w:line="190" w:lineRule="exact"/>
              <w:jc w:val="left"/>
              <w:rPr>
                <w:rFonts w:ascii="宋体" w:hAnsi="宋体" w:eastAsia="宋体" w:cs="宋体"/>
                <w:kern w:val="0"/>
                <w:sz w:val="18"/>
                <w:szCs w:val="18"/>
              </w:rPr>
            </w:pPr>
            <w:r>
              <w:rPr>
                <w:rFonts w:hint="eastAsia" w:ascii="宋体" w:hAnsi="宋体" w:eastAsia="宋体" w:cs="宋体"/>
                <w:kern w:val="0"/>
                <w:sz w:val="18"/>
                <w:szCs w:val="18"/>
              </w:rPr>
              <w:t>省交通运输厅</w:t>
            </w:r>
          </w:p>
        </w:tc>
        <w:tc>
          <w:tcPr>
            <w:tcW w:w="5002" w:type="dxa"/>
            <w:tcBorders>
              <w:top w:val="nil"/>
              <w:left w:val="nil"/>
              <w:bottom w:val="single" w:color="auto" w:sz="4" w:space="0"/>
              <w:right w:val="single" w:color="auto" w:sz="4" w:space="0"/>
            </w:tcBorders>
            <w:shd w:val="clear" w:color="000000" w:fill="FFFFFF"/>
            <w:vAlign w:val="center"/>
          </w:tcPr>
          <w:p>
            <w:pPr>
              <w:widowControl/>
              <w:spacing w:line="190" w:lineRule="exact"/>
              <w:jc w:val="left"/>
              <w:rPr>
                <w:rFonts w:ascii="宋体" w:hAnsi="宋体" w:eastAsia="宋体" w:cs="宋体"/>
                <w:kern w:val="0"/>
                <w:sz w:val="18"/>
                <w:szCs w:val="18"/>
              </w:rPr>
            </w:pPr>
            <w:r>
              <w:rPr>
                <w:rFonts w:hint="eastAsia" w:ascii="宋体" w:hAnsi="宋体" w:eastAsia="宋体" w:cs="宋体"/>
                <w:kern w:val="0"/>
                <w:sz w:val="18"/>
                <w:szCs w:val="18"/>
              </w:rPr>
              <w:t>《国务院关于取消和调整一批行政审批项目等事项的决定》（国发〔2014〕50号）</w:t>
            </w:r>
          </w:p>
        </w:tc>
        <w:tc>
          <w:tcPr>
            <w:tcW w:w="1261" w:type="dxa"/>
            <w:tcBorders>
              <w:top w:val="nil"/>
              <w:left w:val="nil"/>
              <w:bottom w:val="single" w:color="auto" w:sz="4" w:space="0"/>
              <w:right w:val="single" w:color="auto" w:sz="4" w:space="0"/>
            </w:tcBorders>
            <w:shd w:val="clear" w:color="000000" w:fill="FFFFFF"/>
            <w:vAlign w:val="center"/>
          </w:tcPr>
          <w:p>
            <w:pPr>
              <w:spacing w:line="190" w:lineRule="exact"/>
              <w:rPr>
                <w:sz w:val="18"/>
                <w:szCs w:val="18"/>
              </w:rPr>
            </w:pPr>
            <w:r>
              <w:rPr>
                <w:rFonts w:hint="eastAsia"/>
                <w:sz w:val="18"/>
                <w:szCs w:val="18"/>
              </w:rPr>
              <w:t>国际道路运输</w:t>
            </w:r>
          </w:p>
        </w:tc>
      </w:tr>
      <w:tr>
        <w:tblPrEx>
          <w:tblCellMar>
            <w:top w:w="0" w:type="dxa"/>
            <w:left w:w="108" w:type="dxa"/>
            <w:bottom w:w="0" w:type="dxa"/>
            <w:right w:w="108" w:type="dxa"/>
          </w:tblCellMar>
        </w:tblPrEx>
        <w:trPr>
          <w:cantSplit/>
          <w:trHeight w:val="1687" w:hRule="atLeast"/>
          <w:jc w:val="center"/>
        </w:trPr>
        <w:tc>
          <w:tcPr>
            <w:tcW w:w="756" w:type="dxa"/>
            <w:tcBorders>
              <w:top w:val="nil"/>
              <w:left w:val="single" w:color="auto" w:sz="4" w:space="0"/>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kern w:val="0"/>
                <w:sz w:val="18"/>
                <w:szCs w:val="18"/>
              </w:rPr>
            </w:pPr>
            <w:r>
              <w:rPr>
                <w:rFonts w:hint="eastAsia" w:ascii="宋体" w:hAnsi="宋体" w:eastAsia="宋体" w:cs="宋体"/>
                <w:kern w:val="0"/>
                <w:sz w:val="18"/>
                <w:szCs w:val="18"/>
              </w:rPr>
              <w:t>62</w:t>
            </w:r>
          </w:p>
        </w:tc>
        <w:tc>
          <w:tcPr>
            <w:tcW w:w="1116" w:type="dxa"/>
            <w:tcBorders>
              <w:top w:val="nil"/>
              <w:left w:val="nil"/>
              <w:bottom w:val="single" w:color="auto" w:sz="4" w:space="0"/>
              <w:right w:val="single" w:color="auto" w:sz="4" w:space="0"/>
            </w:tcBorders>
            <w:shd w:val="clear" w:color="000000" w:fill="FFFFFF"/>
            <w:vAlign w:val="center"/>
          </w:tcPr>
          <w:p>
            <w:pPr>
              <w:widowControl/>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出租汽车经营资格证核发</w:t>
            </w:r>
          </w:p>
        </w:tc>
        <w:tc>
          <w:tcPr>
            <w:tcW w:w="1673" w:type="dxa"/>
            <w:tcBorders>
              <w:top w:val="nil"/>
              <w:left w:val="nil"/>
              <w:bottom w:val="single" w:color="auto" w:sz="4" w:space="0"/>
              <w:right w:val="single" w:color="auto" w:sz="4" w:space="0"/>
            </w:tcBorders>
            <w:shd w:val="clear" w:color="000000" w:fill="FFFFFF"/>
            <w:vAlign w:val="center"/>
          </w:tcPr>
          <w:p>
            <w:pPr>
              <w:widowControl/>
              <w:spacing w:line="190" w:lineRule="exact"/>
              <w:jc w:val="left"/>
              <w:rPr>
                <w:rFonts w:ascii="宋体" w:hAnsi="宋体" w:eastAsia="宋体" w:cs="宋体"/>
                <w:kern w:val="0"/>
                <w:sz w:val="18"/>
                <w:szCs w:val="18"/>
              </w:rPr>
            </w:pPr>
            <w:r>
              <w:rPr>
                <w:rFonts w:hint="eastAsia" w:ascii="宋体" w:hAnsi="宋体" w:eastAsia="宋体" w:cs="宋体"/>
                <w:kern w:val="0"/>
                <w:sz w:val="18"/>
                <w:szCs w:val="18"/>
              </w:rPr>
              <w:t>设区市、县（市、区）交通运输主管部门</w:t>
            </w:r>
          </w:p>
        </w:tc>
        <w:tc>
          <w:tcPr>
            <w:tcW w:w="5002" w:type="dxa"/>
            <w:tcBorders>
              <w:top w:val="nil"/>
              <w:left w:val="nil"/>
              <w:bottom w:val="single" w:color="auto" w:sz="4" w:space="0"/>
              <w:right w:val="single" w:color="auto" w:sz="4" w:space="0"/>
            </w:tcBorders>
            <w:shd w:val="clear" w:color="000000" w:fill="FFFFFF"/>
            <w:vAlign w:val="center"/>
          </w:tcPr>
          <w:p>
            <w:pPr>
              <w:widowControl/>
              <w:spacing w:line="190" w:lineRule="exact"/>
              <w:jc w:val="left"/>
              <w:rPr>
                <w:rFonts w:ascii="宋体" w:hAnsi="宋体" w:eastAsia="宋体" w:cs="宋体"/>
                <w:kern w:val="0"/>
                <w:sz w:val="18"/>
                <w:szCs w:val="18"/>
              </w:rPr>
            </w:pPr>
            <w:r>
              <w:rPr>
                <w:rFonts w:hint="eastAsia" w:ascii="宋体" w:hAnsi="宋体" w:eastAsia="宋体" w:cs="宋体"/>
                <w:kern w:val="0"/>
                <w:sz w:val="18"/>
                <w:szCs w:val="18"/>
              </w:rPr>
              <w:t>《国务院对确需保留的行政审批项目设定行政许可的决定》（国务院令第412号）</w:t>
            </w:r>
          </w:p>
          <w:p>
            <w:pPr>
              <w:widowControl/>
              <w:spacing w:line="190" w:lineRule="exact"/>
              <w:jc w:val="left"/>
              <w:rPr>
                <w:rFonts w:ascii="宋体" w:hAnsi="宋体" w:eastAsia="宋体" w:cs="宋体"/>
                <w:kern w:val="0"/>
                <w:sz w:val="18"/>
                <w:szCs w:val="18"/>
              </w:rPr>
            </w:pPr>
            <w:r>
              <w:rPr>
                <w:rFonts w:hint="eastAsia" w:ascii="宋体" w:hAnsi="宋体" w:eastAsia="宋体" w:cs="宋体"/>
                <w:kern w:val="0"/>
                <w:sz w:val="18"/>
                <w:szCs w:val="18"/>
              </w:rPr>
              <w:t>《巡游出租汽车经营服务管理规定》（交通运输部令第60号）</w:t>
            </w:r>
          </w:p>
          <w:p>
            <w:pPr>
              <w:widowControl/>
              <w:spacing w:line="190" w:lineRule="exact"/>
              <w:jc w:val="left"/>
              <w:rPr>
                <w:rFonts w:ascii="宋体" w:hAnsi="宋体" w:eastAsia="宋体" w:cs="宋体"/>
                <w:kern w:val="0"/>
                <w:sz w:val="18"/>
                <w:szCs w:val="18"/>
              </w:rPr>
            </w:pPr>
            <w:r>
              <w:rPr>
                <w:rFonts w:hint="eastAsia" w:ascii="宋体" w:hAnsi="宋体" w:eastAsia="宋体" w:cs="宋体"/>
                <w:kern w:val="0"/>
                <w:sz w:val="18"/>
                <w:szCs w:val="18"/>
              </w:rPr>
              <w:t>《网络预约出租汽车经营服务管理暂行办法》（交通运输部令第64号）</w:t>
            </w:r>
          </w:p>
          <w:p>
            <w:pPr>
              <w:widowControl/>
              <w:spacing w:line="190" w:lineRule="exact"/>
              <w:jc w:val="left"/>
              <w:rPr>
                <w:rFonts w:ascii="宋体" w:hAnsi="宋体" w:eastAsia="宋体" w:cs="宋体"/>
                <w:kern w:val="0"/>
                <w:sz w:val="18"/>
                <w:szCs w:val="18"/>
              </w:rPr>
            </w:pPr>
            <w:r>
              <w:rPr>
                <w:rFonts w:hint="eastAsia" w:ascii="宋体" w:hAnsi="宋体" w:eastAsia="宋体" w:cs="宋体"/>
                <w:kern w:val="0"/>
                <w:sz w:val="18"/>
                <w:szCs w:val="18"/>
              </w:rPr>
              <w:t>《国务院关于取消和调整一批行政审批项目等事项的决定》（国发〔2015〕11号）</w:t>
            </w:r>
          </w:p>
          <w:p>
            <w:pPr>
              <w:widowControl/>
              <w:spacing w:line="190" w:lineRule="exact"/>
              <w:jc w:val="left"/>
              <w:rPr>
                <w:rFonts w:ascii="宋体" w:hAnsi="宋体" w:eastAsia="宋体" w:cs="宋体"/>
                <w:kern w:val="0"/>
                <w:sz w:val="18"/>
                <w:szCs w:val="18"/>
              </w:rPr>
            </w:pPr>
            <w:r>
              <w:rPr>
                <w:rFonts w:hint="eastAsia" w:ascii="宋体" w:hAnsi="宋体" w:eastAsia="宋体" w:cs="宋体"/>
                <w:kern w:val="0"/>
                <w:sz w:val="18"/>
                <w:szCs w:val="18"/>
              </w:rPr>
              <w:t>《辽宁省客运出租汽车管理条例》</w:t>
            </w:r>
          </w:p>
        </w:tc>
        <w:tc>
          <w:tcPr>
            <w:tcW w:w="1261" w:type="dxa"/>
            <w:tcBorders>
              <w:top w:val="nil"/>
              <w:left w:val="nil"/>
              <w:bottom w:val="single" w:color="auto" w:sz="4" w:space="0"/>
              <w:right w:val="single" w:color="auto" w:sz="4" w:space="0"/>
            </w:tcBorders>
            <w:shd w:val="clear" w:color="000000" w:fill="FFFFFF"/>
            <w:vAlign w:val="center"/>
          </w:tcPr>
          <w:p>
            <w:pPr>
              <w:spacing w:line="190" w:lineRule="exact"/>
              <w:rPr>
                <w:rFonts w:ascii="宋体" w:hAnsi="宋体" w:eastAsia="宋体" w:cs="宋体"/>
                <w:sz w:val="18"/>
                <w:szCs w:val="18"/>
              </w:rPr>
            </w:pPr>
            <w:r>
              <w:rPr>
                <w:rFonts w:hint="eastAsia"/>
                <w:sz w:val="18"/>
                <w:szCs w:val="18"/>
              </w:rPr>
              <w:t>出租汽车</w:t>
            </w:r>
          </w:p>
        </w:tc>
      </w:tr>
      <w:tr>
        <w:tblPrEx>
          <w:tblCellMar>
            <w:top w:w="0" w:type="dxa"/>
            <w:left w:w="108" w:type="dxa"/>
            <w:bottom w:w="0" w:type="dxa"/>
            <w:right w:w="108" w:type="dxa"/>
          </w:tblCellMar>
        </w:tblPrEx>
        <w:trPr>
          <w:cantSplit/>
          <w:trHeight w:val="1120" w:hRule="atLeast"/>
          <w:jc w:val="center"/>
        </w:trPr>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kern w:val="0"/>
                <w:sz w:val="18"/>
                <w:szCs w:val="18"/>
              </w:rPr>
            </w:pPr>
            <w:r>
              <w:rPr>
                <w:rFonts w:hint="eastAsia" w:ascii="宋体" w:hAnsi="宋体" w:eastAsia="宋体" w:cs="宋体"/>
                <w:kern w:val="0"/>
                <w:sz w:val="18"/>
                <w:szCs w:val="18"/>
              </w:rPr>
              <w:t>63</w:t>
            </w:r>
          </w:p>
        </w:tc>
        <w:tc>
          <w:tcPr>
            <w:tcW w:w="1116"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道路客运站经营许可</w:t>
            </w:r>
          </w:p>
        </w:tc>
        <w:tc>
          <w:tcPr>
            <w:tcW w:w="1673" w:type="dxa"/>
            <w:tcBorders>
              <w:top w:val="single" w:color="auto" w:sz="4" w:space="0"/>
              <w:left w:val="nil"/>
              <w:bottom w:val="single" w:color="auto" w:sz="4" w:space="0"/>
              <w:right w:val="single" w:color="auto" w:sz="4" w:space="0"/>
            </w:tcBorders>
            <w:shd w:val="clear" w:color="000000" w:fill="FFFFFF"/>
            <w:vAlign w:val="center"/>
          </w:tcPr>
          <w:p>
            <w:pPr>
              <w:widowControl/>
              <w:spacing w:line="190" w:lineRule="exact"/>
              <w:jc w:val="left"/>
              <w:rPr>
                <w:rFonts w:ascii="宋体" w:hAnsi="宋体" w:eastAsia="宋体" w:cs="宋体"/>
                <w:kern w:val="0"/>
                <w:sz w:val="18"/>
                <w:szCs w:val="18"/>
              </w:rPr>
            </w:pPr>
            <w:r>
              <w:rPr>
                <w:rFonts w:hint="eastAsia" w:ascii="宋体" w:hAnsi="宋体" w:eastAsia="宋体" w:cs="宋体"/>
                <w:kern w:val="0"/>
                <w:sz w:val="18"/>
                <w:szCs w:val="18"/>
              </w:rPr>
              <w:t>设区市、县（市、区）交通运输主管部门</w:t>
            </w:r>
          </w:p>
        </w:tc>
        <w:tc>
          <w:tcPr>
            <w:tcW w:w="5002" w:type="dxa"/>
            <w:tcBorders>
              <w:top w:val="single" w:color="auto" w:sz="4" w:space="0"/>
              <w:left w:val="nil"/>
              <w:bottom w:val="single" w:color="auto" w:sz="4" w:space="0"/>
              <w:right w:val="single" w:color="auto" w:sz="4" w:space="0"/>
            </w:tcBorders>
            <w:shd w:val="clear" w:color="000000" w:fill="FFFFFF"/>
            <w:vAlign w:val="center"/>
          </w:tcPr>
          <w:p>
            <w:pPr>
              <w:widowControl/>
              <w:spacing w:line="190" w:lineRule="exact"/>
              <w:jc w:val="left"/>
              <w:rPr>
                <w:rFonts w:ascii="宋体" w:hAnsi="宋体" w:eastAsia="宋体" w:cs="宋体"/>
                <w:kern w:val="0"/>
                <w:sz w:val="18"/>
                <w:szCs w:val="18"/>
              </w:rPr>
            </w:pPr>
            <w:r>
              <w:rPr>
                <w:rFonts w:hint="eastAsia" w:ascii="宋体" w:hAnsi="宋体" w:eastAsia="宋体" w:cs="宋体"/>
                <w:kern w:val="0"/>
                <w:sz w:val="18"/>
                <w:szCs w:val="18"/>
              </w:rPr>
              <w:t>《道路运输条例》(国务院令第406号公布，国务院令第666号予以修改)</w:t>
            </w:r>
          </w:p>
          <w:p>
            <w:pPr>
              <w:widowControl/>
              <w:spacing w:line="190" w:lineRule="exact"/>
              <w:jc w:val="left"/>
              <w:rPr>
                <w:rFonts w:ascii="宋体" w:hAnsi="宋体" w:eastAsia="宋体" w:cs="宋体"/>
                <w:kern w:val="0"/>
                <w:sz w:val="18"/>
                <w:szCs w:val="18"/>
              </w:rPr>
            </w:pPr>
            <w:r>
              <w:rPr>
                <w:rFonts w:hint="eastAsia" w:ascii="宋体" w:hAnsi="宋体" w:eastAsia="宋体" w:cs="宋体"/>
                <w:kern w:val="0"/>
                <w:sz w:val="18"/>
                <w:szCs w:val="18"/>
              </w:rPr>
              <w:t>《道路旅客运输及客运站管理规定》（交通运输部令第82号）</w:t>
            </w:r>
          </w:p>
          <w:p>
            <w:pPr>
              <w:widowControl/>
              <w:spacing w:line="190" w:lineRule="exact"/>
              <w:jc w:val="left"/>
              <w:rPr>
                <w:rFonts w:ascii="宋体" w:hAnsi="宋体" w:eastAsia="宋体" w:cs="宋体"/>
                <w:kern w:val="0"/>
                <w:sz w:val="18"/>
                <w:szCs w:val="18"/>
              </w:rPr>
            </w:pPr>
            <w:r>
              <w:rPr>
                <w:rFonts w:hint="eastAsia" w:ascii="宋体" w:hAnsi="宋体" w:eastAsia="宋体" w:cs="宋体"/>
                <w:kern w:val="0"/>
                <w:sz w:val="18"/>
                <w:szCs w:val="18"/>
              </w:rPr>
              <w:t>《国务院关于取消和调整一批行政审批项目等事项的决定》（国发〔2014〕50号）</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190" w:lineRule="exact"/>
              <w:rPr>
                <w:rFonts w:ascii="宋体" w:hAnsi="宋体" w:eastAsia="宋体" w:cs="宋体"/>
                <w:sz w:val="18"/>
                <w:szCs w:val="18"/>
              </w:rPr>
            </w:pPr>
            <w:r>
              <w:rPr>
                <w:rFonts w:hint="eastAsia"/>
                <w:sz w:val="18"/>
                <w:szCs w:val="18"/>
              </w:rPr>
              <w:t>运输站、运输场</w:t>
            </w:r>
          </w:p>
        </w:tc>
      </w:tr>
      <w:tr>
        <w:tblPrEx>
          <w:tblCellMar>
            <w:top w:w="0" w:type="dxa"/>
            <w:left w:w="108" w:type="dxa"/>
            <w:bottom w:w="0" w:type="dxa"/>
            <w:right w:w="108" w:type="dxa"/>
          </w:tblCellMar>
        </w:tblPrEx>
        <w:trPr>
          <w:cantSplit/>
          <w:trHeight w:val="838" w:hRule="atLeast"/>
          <w:jc w:val="center"/>
        </w:trPr>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kern w:val="0"/>
                <w:sz w:val="18"/>
                <w:szCs w:val="18"/>
              </w:rPr>
            </w:pPr>
            <w:r>
              <w:rPr>
                <w:rFonts w:hint="eastAsia" w:ascii="宋体" w:hAnsi="宋体" w:eastAsia="宋体" w:cs="宋体"/>
                <w:kern w:val="0"/>
                <w:sz w:val="18"/>
                <w:szCs w:val="18"/>
              </w:rPr>
              <w:t>64</w:t>
            </w:r>
          </w:p>
        </w:tc>
        <w:tc>
          <w:tcPr>
            <w:tcW w:w="1116"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机动车驾驶员培训业务许可证核发</w:t>
            </w:r>
          </w:p>
        </w:tc>
        <w:tc>
          <w:tcPr>
            <w:tcW w:w="1673" w:type="dxa"/>
            <w:tcBorders>
              <w:top w:val="single" w:color="auto" w:sz="4" w:space="0"/>
              <w:left w:val="nil"/>
              <w:bottom w:val="single" w:color="auto" w:sz="4" w:space="0"/>
              <w:right w:val="single" w:color="auto" w:sz="4" w:space="0"/>
            </w:tcBorders>
            <w:shd w:val="clear" w:color="000000" w:fill="FFFFFF"/>
            <w:vAlign w:val="center"/>
          </w:tcPr>
          <w:p>
            <w:pPr>
              <w:widowControl/>
              <w:spacing w:line="190" w:lineRule="exact"/>
              <w:jc w:val="left"/>
              <w:rPr>
                <w:rFonts w:ascii="宋体" w:hAnsi="宋体" w:eastAsia="宋体" w:cs="宋体"/>
                <w:kern w:val="0"/>
                <w:sz w:val="18"/>
                <w:szCs w:val="18"/>
              </w:rPr>
            </w:pPr>
            <w:r>
              <w:rPr>
                <w:rFonts w:hint="eastAsia" w:ascii="宋体" w:hAnsi="宋体" w:eastAsia="宋体" w:cs="宋体"/>
                <w:kern w:val="0"/>
                <w:sz w:val="18"/>
                <w:szCs w:val="18"/>
              </w:rPr>
              <w:t>设区市、县（市、区）交通运输主管部门</w:t>
            </w:r>
          </w:p>
        </w:tc>
        <w:tc>
          <w:tcPr>
            <w:tcW w:w="5002" w:type="dxa"/>
            <w:tcBorders>
              <w:top w:val="single" w:color="auto" w:sz="4" w:space="0"/>
              <w:left w:val="nil"/>
              <w:bottom w:val="single" w:color="auto" w:sz="4" w:space="0"/>
              <w:right w:val="single" w:color="auto" w:sz="4" w:space="0"/>
            </w:tcBorders>
            <w:shd w:val="clear" w:color="000000" w:fill="FFFFFF"/>
            <w:vAlign w:val="center"/>
          </w:tcPr>
          <w:p>
            <w:pPr>
              <w:widowControl/>
              <w:spacing w:line="190" w:lineRule="exact"/>
              <w:jc w:val="left"/>
              <w:rPr>
                <w:rFonts w:ascii="宋体" w:hAnsi="宋体" w:eastAsia="宋体" w:cs="宋体"/>
                <w:kern w:val="0"/>
                <w:sz w:val="18"/>
                <w:szCs w:val="18"/>
              </w:rPr>
            </w:pPr>
            <w:r>
              <w:rPr>
                <w:rFonts w:hint="eastAsia" w:ascii="宋体" w:hAnsi="宋体" w:eastAsia="宋体" w:cs="宋体"/>
                <w:kern w:val="0"/>
                <w:sz w:val="18"/>
                <w:szCs w:val="18"/>
              </w:rPr>
              <w:t>《道路运输条例》(国务院令第406号公布，国务院令第666号予以修改)</w:t>
            </w:r>
          </w:p>
          <w:p>
            <w:pPr>
              <w:widowControl/>
              <w:spacing w:line="190" w:lineRule="exact"/>
              <w:jc w:val="left"/>
              <w:rPr>
                <w:rFonts w:ascii="宋体" w:hAnsi="宋体" w:eastAsia="宋体" w:cs="宋体"/>
                <w:kern w:val="0"/>
                <w:sz w:val="18"/>
                <w:szCs w:val="18"/>
              </w:rPr>
            </w:pPr>
            <w:r>
              <w:rPr>
                <w:rFonts w:hint="eastAsia" w:ascii="宋体" w:hAnsi="宋体" w:eastAsia="宋体" w:cs="宋体"/>
                <w:kern w:val="0"/>
                <w:sz w:val="18"/>
                <w:szCs w:val="18"/>
              </w:rPr>
              <w:t>《国务院关于取消和调整一批行政审批项目等事项的决定》（国发〔2014〕50号）</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190" w:lineRule="exact"/>
              <w:rPr>
                <w:rFonts w:ascii="宋体" w:hAnsi="宋体" w:eastAsia="宋体" w:cs="宋体"/>
                <w:sz w:val="18"/>
                <w:szCs w:val="18"/>
              </w:rPr>
            </w:pPr>
            <w:r>
              <w:rPr>
                <w:rFonts w:hint="eastAsia"/>
                <w:sz w:val="18"/>
                <w:szCs w:val="18"/>
              </w:rPr>
              <w:t>驾驶员培训</w:t>
            </w:r>
          </w:p>
        </w:tc>
      </w:tr>
      <w:tr>
        <w:tblPrEx>
          <w:tblCellMar>
            <w:top w:w="0" w:type="dxa"/>
            <w:left w:w="108" w:type="dxa"/>
            <w:bottom w:w="0" w:type="dxa"/>
            <w:right w:w="108" w:type="dxa"/>
          </w:tblCellMar>
        </w:tblPrEx>
        <w:trPr>
          <w:cantSplit/>
          <w:trHeight w:val="1133" w:hRule="atLeast"/>
          <w:jc w:val="center"/>
        </w:trPr>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kern w:val="0"/>
                <w:sz w:val="18"/>
                <w:szCs w:val="18"/>
              </w:rPr>
            </w:pPr>
            <w:r>
              <w:rPr>
                <w:rFonts w:hint="eastAsia" w:ascii="宋体" w:hAnsi="宋体" w:eastAsia="宋体" w:cs="宋体"/>
                <w:kern w:val="0"/>
                <w:sz w:val="18"/>
                <w:szCs w:val="18"/>
              </w:rPr>
              <w:t>65</w:t>
            </w:r>
          </w:p>
        </w:tc>
        <w:tc>
          <w:tcPr>
            <w:tcW w:w="1116"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道路客运经营许可证核发</w:t>
            </w:r>
          </w:p>
        </w:tc>
        <w:tc>
          <w:tcPr>
            <w:tcW w:w="1673" w:type="dxa"/>
            <w:tcBorders>
              <w:top w:val="single" w:color="auto" w:sz="4" w:space="0"/>
              <w:left w:val="nil"/>
              <w:bottom w:val="single" w:color="auto" w:sz="4" w:space="0"/>
              <w:right w:val="single" w:color="auto" w:sz="4" w:space="0"/>
            </w:tcBorders>
            <w:shd w:val="clear" w:color="000000" w:fill="FFFFFF"/>
            <w:vAlign w:val="center"/>
          </w:tcPr>
          <w:p>
            <w:pPr>
              <w:widowControl/>
              <w:spacing w:line="190" w:lineRule="exact"/>
              <w:jc w:val="left"/>
              <w:rPr>
                <w:rFonts w:ascii="宋体" w:hAnsi="宋体" w:eastAsia="宋体" w:cs="宋体"/>
                <w:kern w:val="0"/>
                <w:sz w:val="18"/>
                <w:szCs w:val="18"/>
              </w:rPr>
            </w:pPr>
            <w:r>
              <w:rPr>
                <w:rFonts w:hint="eastAsia" w:ascii="宋体" w:hAnsi="宋体" w:eastAsia="宋体" w:cs="宋体"/>
                <w:kern w:val="0"/>
                <w:sz w:val="18"/>
                <w:szCs w:val="18"/>
              </w:rPr>
              <w:t>设区市、县(市、区）交通运输主管部门</w:t>
            </w:r>
          </w:p>
        </w:tc>
        <w:tc>
          <w:tcPr>
            <w:tcW w:w="5002" w:type="dxa"/>
            <w:tcBorders>
              <w:top w:val="single" w:color="auto" w:sz="4" w:space="0"/>
              <w:left w:val="nil"/>
              <w:bottom w:val="single" w:color="auto" w:sz="4" w:space="0"/>
              <w:right w:val="single" w:color="auto" w:sz="4" w:space="0"/>
            </w:tcBorders>
            <w:shd w:val="clear" w:color="000000" w:fill="FFFFFF"/>
            <w:vAlign w:val="center"/>
          </w:tcPr>
          <w:p>
            <w:pPr>
              <w:widowControl/>
              <w:spacing w:line="190" w:lineRule="exact"/>
              <w:jc w:val="left"/>
              <w:rPr>
                <w:rFonts w:ascii="宋体" w:hAnsi="宋体" w:eastAsia="宋体" w:cs="宋体"/>
                <w:kern w:val="0"/>
                <w:sz w:val="18"/>
                <w:szCs w:val="18"/>
              </w:rPr>
            </w:pPr>
            <w:r>
              <w:rPr>
                <w:rFonts w:hint="eastAsia" w:ascii="宋体" w:hAnsi="宋体" w:eastAsia="宋体" w:cs="宋体"/>
                <w:kern w:val="0"/>
                <w:sz w:val="18"/>
                <w:szCs w:val="18"/>
              </w:rPr>
              <w:t>《道路运输条例》(国务院令第406号公布，国务院令第666号予以修改)</w:t>
            </w:r>
          </w:p>
          <w:p>
            <w:pPr>
              <w:widowControl/>
              <w:spacing w:line="190" w:lineRule="exact"/>
              <w:jc w:val="left"/>
              <w:rPr>
                <w:rFonts w:ascii="宋体" w:hAnsi="宋体" w:eastAsia="宋体" w:cs="宋体"/>
                <w:kern w:val="0"/>
                <w:sz w:val="18"/>
                <w:szCs w:val="18"/>
              </w:rPr>
            </w:pPr>
            <w:r>
              <w:rPr>
                <w:rFonts w:hint="eastAsia" w:ascii="宋体" w:hAnsi="宋体" w:eastAsia="宋体" w:cs="宋体"/>
                <w:kern w:val="0"/>
                <w:sz w:val="18"/>
                <w:szCs w:val="18"/>
              </w:rPr>
              <w:t>《道路旅客运输及客运站管理规定》（交通运输部令第82号）</w:t>
            </w:r>
          </w:p>
          <w:p>
            <w:pPr>
              <w:widowControl/>
              <w:spacing w:line="190" w:lineRule="exact"/>
              <w:jc w:val="left"/>
              <w:rPr>
                <w:rFonts w:ascii="宋体" w:hAnsi="宋体" w:eastAsia="宋体" w:cs="宋体"/>
                <w:kern w:val="0"/>
                <w:sz w:val="18"/>
                <w:szCs w:val="18"/>
              </w:rPr>
            </w:pPr>
            <w:r>
              <w:rPr>
                <w:rFonts w:hint="eastAsia" w:ascii="宋体" w:hAnsi="宋体" w:eastAsia="宋体" w:cs="宋体"/>
                <w:kern w:val="0"/>
                <w:sz w:val="18"/>
                <w:szCs w:val="18"/>
              </w:rPr>
              <w:t>《国务院关于取消和调整一批行政审批项目等事项的决定》（国发〔2015〕11号）</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190" w:lineRule="exact"/>
              <w:rPr>
                <w:rFonts w:ascii="宋体" w:hAnsi="宋体" w:eastAsia="宋体" w:cs="宋体"/>
                <w:sz w:val="18"/>
                <w:szCs w:val="18"/>
              </w:rPr>
            </w:pPr>
            <w:r>
              <w:rPr>
                <w:rFonts w:hint="eastAsia"/>
                <w:sz w:val="18"/>
                <w:szCs w:val="18"/>
              </w:rPr>
              <w:t>道路旅客运输、道路客运</w:t>
            </w:r>
          </w:p>
        </w:tc>
      </w:tr>
      <w:tr>
        <w:tblPrEx>
          <w:tblCellMar>
            <w:top w:w="0" w:type="dxa"/>
            <w:left w:w="108" w:type="dxa"/>
            <w:bottom w:w="0" w:type="dxa"/>
            <w:right w:w="108" w:type="dxa"/>
          </w:tblCellMar>
        </w:tblPrEx>
        <w:trPr>
          <w:cantSplit/>
          <w:trHeight w:val="503" w:hRule="atLeast"/>
          <w:jc w:val="center"/>
        </w:trPr>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b/>
                <w:bCs/>
                <w:kern w:val="0"/>
                <w:sz w:val="18"/>
                <w:szCs w:val="18"/>
              </w:rPr>
            </w:pPr>
            <w:r>
              <w:rPr>
                <w:rFonts w:hint="eastAsia" w:ascii="宋体" w:hAnsi="宋体" w:eastAsia="宋体" w:cs="宋体"/>
                <w:b/>
                <w:bCs/>
                <w:kern w:val="0"/>
                <w:sz w:val="18"/>
                <w:szCs w:val="18"/>
              </w:rPr>
              <w:t>序号</w:t>
            </w:r>
          </w:p>
        </w:tc>
        <w:tc>
          <w:tcPr>
            <w:tcW w:w="1116"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b/>
                <w:bCs/>
                <w:kern w:val="0"/>
                <w:sz w:val="18"/>
                <w:szCs w:val="18"/>
              </w:rPr>
            </w:pPr>
            <w:r>
              <w:rPr>
                <w:rFonts w:hint="eastAsia" w:ascii="宋体" w:hAnsi="宋体" w:eastAsia="宋体" w:cs="宋体"/>
                <w:b/>
                <w:bCs/>
                <w:kern w:val="0"/>
                <w:sz w:val="18"/>
                <w:szCs w:val="18"/>
              </w:rPr>
              <w:t>项目名称</w:t>
            </w:r>
          </w:p>
        </w:tc>
        <w:tc>
          <w:tcPr>
            <w:tcW w:w="1673"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b/>
                <w:bCs/>
                <w:kern w:val="0"/>
                <w:sz w:val="18"/>
                <w:szCs w:val="18"/>
              </w:rPr>
            </w:pPr>
            <w:r>
              <w:rPr>
                <w:rFonts w:hint="eastAsia" w:ascii="宋体" w:hAnsi="宋体" w:eastAsia="宋体" w:cs="宋体"/>
                <w:b/>
                <w:bCs/>
                <w:kern w:val="0"/>
                <w:sz w:val="18"/>
                <w:szCs w:val="18"/>
              </w:rPr>
              <w:t>实施机关</w:t>
            </w:r>
          </w:p>
        </w:tc>
        <w:tc>
          <w:tcPr>
            <w:tcW w:w="5002"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b/>
                <w:bCs/>
                <w:kern w:val="0"/>
                <w:sz w:val="18"/>
                <w:szCs w:val="18"/>
              </w:rPr>
            </w:pPr>
            <w:r>
              <w:rPr>
                <w:rFonts w:hint="eastAsia" w:ascii="宋体" w:hAnsi="宋体" w:eastAsia="宋体" w:cs="宋体"/>
                <w:b/>
                <w:bCs/>
                <w:kern w:val="0"/>
                <w:sz w:val="18"/>
                <w:szCs w:val="18"/>
              </w:rPr>
              <w:t xml:space="preserve">设定依据                                                                                         </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190" w:lineRule="exact"/>
              <w:rPr>
                <w:rFonts w:ascii="宋体" w:hAnsi="宋体" w:eastAsia="宋体" w:cs="宋体"/>
                <w:b/>
                <w:bCs/>
                <w:kern w:val="0"/>
                <w:sz w:val="18"/>
                <w:szCs w:val="18"/>
              </w:rPr>
            </w:pPr>
            <w:r>
              <w:rPr>
                <w:rFonts w:hint="eastAsia" w:ascii="宋体" w:hAnsi="宋体" w:eastAsia="宋体" w:cs="宋体"/>
                <w:b/>
                <w:bCs/>
                <w:kern w:val="0"/>
                <w:sz w:val="18"/>
                <w:szCs w:val="18"/>
              </w:rPr>
              <w:t>检索关键词</w:t>
            </w:r>
          </w:p>
        </w:tc>
      </w:tr>
      <w:tr>
        <w:tblPrEx>
          <w:tblCellMar>
            <w:top w:w="0" w:type="dxa"/>
            <w:left w:w="108" w:type="dxa"/>
            <w:bottom w:w="0" w:type="dxa"/>
            <w:right w:w="108" w:type="dxa"/>
          </w:tblCellMar>
        </w:tblPrEx>
        <w:trPr>
          <w:cantSplit/>
          <w:trHeight w:val="838" w:hRule="atLeast"/>
          <w:jc w:val="center"/>
        </w:trPr>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kern w:val="0"/>
                <w:sz w:val="18"/>
                <w:szCs w:val="18"/>
              </w:rPr>
            </w:pPr>
            <w:r>
              <w:rPr>
                <w:rFonts w:hint="eastAsia" w:ascii="宋体" w:hAnsi="宋体" w:eastAsia="宋体" w:cs="宋体"/>
                <w:kern w:val="0"/>
                <w:sz w:val="18"/>
                <w:szCs w:val="18"/>
              </w:rPr>
              <w:t>66</w:t>
            </w:r>
          </w:p>
        </w:tc>
        <w:tc>
          <w:tcPr>
            <w:tcW w:w="1116"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道路货物经营许可证核发</w:t>
            </w:r>
          </w:p>
        </w:tc>
        <w:tc>
          <w:tcPr>
            <w:tcW w:w="1673" w:type="dxa"/>
            <w:tcBorders>
              <w:top w:val="single" w:color="auto" w:sz="4" w:space="0"/>
              <w:left w:val="nil"/>
              <w:bottom w:val="single" w:color="auto" w:sz="4" w:space="0"/>
              <w:right w:val="single" w:color="auto" w:sz="4" w:space="0"/>
            </w:tcBorders>
            <w:shd w:val="clear" w:color="000000" w:fill="FFFFFF"/>
            <w:vAlign w:val="center"/>
          </w:tcPr>
          <w:p>
            <w:pPr>
              <w:widowControl/>
              <w:spacing w:line="190" w:lineRule="exact"/>
              <w:jc w:val="left"/>
              <w:rPr>
                <w:rFonts w:ascii="宋体" w:hAnsi="宋体" w:eastAsia="宋体" w:cs="宋体"/>
                <w:kern w:val="0"/>
                <w:sz w:val="18"/>
                <w:szCs w:val="18"/>
              </w:rPr>
            </w:pPr>
            <w:r>
              <w:rPr>
                <w:rFonts w:hint="eastAsia" w:ascii="宋体" w:hAnsi="宋体" w:eastAsia="宋体" w:cs="宋体"/>
                <w:kern w:val="0"/>
                <w:sz w:val="18"/>
                <w:szCs w:val="18"/>
              </w:rPr>
              <w:t>县（市、区）交通运输主管部门</w:t>
            </w:r>
          </w:p>
        </w:tc>
        <w:tc>
          <w:tcPr>
            <w:tcW w:w="5002" w:type="dxa"/>
            <w:tcBorders>
              <w:top w:val="single" w:color="auto" w:sz="4" w:space="0"/>
              <w:left w:val="nil"/>
              <w:bottom w:val="single" w:color="auto" w:sz="4" w:space="0"/>
              <w:right w:val="single" w:color="auto" w:sz="4" w:space="0"/>
            </w:tcBorders>
            <w:shd w:val="clear" w:color="000000" w:fill="FFFFFF"/>
            <w:vAlign w:val="center"/>
          </w:tcPr>
          <w:p>
            <w:pPr>
              <w:widowControl/>
              <w:spacing w:line="190" w:lineRule="exact"/>
              <w:jc w:val="left"/>
              <w:rPr>
                <w:rFonts w:ascii="宋体" w:hAnsi="宋体" w:eastAsia="宋体" w:cs="宋体"/>
                <w:kern w:val="0"/>
                <w:sz w:val="18"/>
                <w:szCs w:val="18"/>
              </w:rPr>
            </w:pPr>
            <w:r>
              <w:rPr>
                <w:rFonts w:hint="eastAsia" w:ascii="宋体" w:hAnsi="宋体" w:eastAsia="宋体" w:cs="宋体"/>
                <w:kern w:val="0"/>
                <w:sz w:val="18"/>
                <w:szCs w:val="18"/>
              </w:rPr>
              <w:t>《道路运输条例》(国务院令第406号公布，国务院令第666号予以修改)</w:t>
            </w:r>
          </w:p>
          <w:p>
            <w:pPr>
              <w:widowControl/>
              <w:spacing w:line="190" w:lineRule="exact"/>
              <w:jc w:val="left"/>
              <w:rPr>
                <w:rFonts w:ascii="宋体" w:hAnsi="宋体" w:eastAsia="宋体" w:cs="宋体"/>
                <w:kern w:val="0"/>
                <w:sz w:val="18"/>
                <w:szCs w:val="18"/>
              </w:rPr>
            </w:pPr>
            <w:r>
              <w:rPr>
                <w:rFonts w:hint="eastAsia" w:ascii="宋体" w:hAnsi="宋体" w:eastAsia="宋体" w:cs="宋体"/>
                <w:kern w:val="0"/>
                <w:sz w:val="18"/>
                <w:szCs w:val="18"/>
              </w:rPr>
              <w:t>《国务院关于取消和调整一批行政审批项目等事项的决定》（国发〔2015〕11号）</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190" w:lineRule="exact"/>
              <w:rPr>
                <w:rFonts w:ascii="宋体" w:hAnsi="宋体" w:eastAsia="宋体" w:cs="宋体"/>
                <w:sz w:val="18"/>
                <w:szCs w:val="18"/>
              </w:rPr>
            </w:pPr>
            <w:r>
              <w:rPr>
                <w:rFonts w:hint="eastAsia"/>
                <w:sz w:val="18"/>
                <w:szCs w:val="18"/>
              </w:rPr>
              <w:t>道路货物运输、道路货运</w:t>
            </w:r>
          </w:p>
        </w:tc>
      </w:tr>
      <w:tr>
        <w:tblPrEx>
          <w:tblCellMar>
            <w:top w:w="0" w:type="dxa"/>
            <w:left w:w="108" w:type="dxa"/>
            <w:bottom w:w="0" w:type="dxa"/>
            <w:right w:w="108" w:type="dxa"/>
          </w:tblCellMar>
        </w:tblPrEx>
        <w:trPr>
          <w:cantSplit/>
          <w:trHeight w:val="1407" w:hRule="atLeast"/>
          <w:jc w:val="center"/>
        </w:trPr>
        <w:tc>
          <w:tcPr>
            <w:tcW w:w="756" w:type="dxa"/>
            <w:tcBorders>
              <w:top w:val="nil"/>
              <w:left w:val="single" w:color="auto" w:sz="4" w:space="0"/>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kern w:val="0"/>
                <w:sz w:val="18"/>
                <w:szCs w:val="18"/>
              </w:rPr>
            </w:pPr>
            <w:r>
              <w:rPr>
                <w:rFonts w:hint="eastAsia" w:ascii="宋体" w:hAnsi="宋体" w:eastAsia="宋体" w:cs="宋体"/>
                <w:kern w:val="0"/>
                <w:sz w:val="18"/>
                <w:szCs w:val="18"/>
              </w:rPr>
              <w:t>67</w:t>
            </w:r>
          </w:p>
        </w:tc>
        <w:tc>
          <w:tcPr>
            <w:tcW w:w="1116" w:type="dxa"/>
            <w:tcBorders>
              <w:top w:val="nil"/>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公路、水运工程监理单位资质认定</w:t>
            </w:r>
          </w:p>
        </w:tc>
        <w:tc>
          <w:tcPr>
            <w:tcW w:w="1673" w:type="dxa"/>
            <w:tcBorders>
              <w:top w:val="nil"/>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省交通运输厅</w:t>
            </w:r>
          </w:p>
        </w:tc>
        <w:tc>
          <w:tcPr>
            <w:tcW w:w="5002" w:type="dxa"/>
            <w:tcBorders>
              <w:top w:val="nil"/>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《公路法》</w:t>
            </w:r>
          </w:p>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《建设工程质量管理条例》（国务院令第279号）</w:t>
            </w:r>
          </w:p>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《公路水运工程监理企业资质管理规定》（交通部令第7号</w:t>
            </w:r>
          </w:p>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《国务院关于取消和下放一批行政审批项目的决定》（国发〔2013〕44号）</w:t>
            </w:r>
          </w:p>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《国务院关于取消和调整一批行政审批项目等事项的决定》（国发〔2015〕11号）</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180" w:lineRule="exact"/>
              <w:rPr>
                <w:rFonts w:ascii="宋体" w:hAnsi="宋体" w:eastAsia="宋体" w:cs="宋体"/>
                <w:sz w:val="18"/>
                <w:szCs w:val="18"/>
              </w:rPr>
            </w:pPr>
            <w:r>
              <w:rPr>
                <w:rFonts w:hint="eastAsia"/>
                <w:sz w:val="18"/>
                <w:szCs w:val="18"/>
              </w:rPr>
              <w:t>公路工程监理、水运工程监理</w:t>
            </w:r>
          </w:p>
        </w:tc>
      </w:tr>
      <w:tr>
        <w:tblPrEx>
          <w:tblCellMar>
            <w:top w:w="0" w:type="dxa"/>
            <w:left w:w="108" w:type="dxa"/>
            <w:bottom w:w="0" w:type="dxa"/>
            <w:right w:w="108" w:type="dxa"/>
          </w:tblCellMar>
        </w:tblPrEx>
        <w:trPr>
          <w:cantSplit/>
          <w:trHeight w:val="1470" w:hRule="atLeast"/>
          <w:jc w:val="center"/>
        </w:trPr>
        <w:tc>
          <w:tcPr>
            <w:tcW w:w="756" w:type="dxa"/>
            <w:tcBorders>
              <w:top w:val="nil"/>
              <w:left w:val="single" w:color="auto" w:sz="4" w:space="0"/>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kern w:val="0"/>
                <w:sz w:val="18"/>
                <w:szCs w:val="18"/>
              </w:rPr>
            </w:pPr>
            <w:r>
              <w:rPr>
                <w:rFonts w:hint="eastAsia" w:ascii="宋体" w:hAnsi="宋体" w:eastAsia="宋体" w:cs="宋体"/>
                <w:kern w:val="0"/>
                <w:sz w:val="18"/>
                <w:szCs w:val="18"/>
              </w:rPr>
              <w:t>68</w:t>
            </w:r>
          </w:p>
        </w:tc>
        <w:tc>
          <w:tcPr>
            <w:tcW w:w="1116" w:type="dxa"/>
            <w:tcBorders>
              <w:top w:val="nil"/>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设立引航及验船机构审批</w:t>
            </w:r>
          </w:p>
        </w:tc>
        <w:tc>
          <w:tcPr>
            <w:tcW w:w="1673" w:type="dxa"/>
            <w:tcBorders>
              <w:top w:val="nil"/>
              <w:left w:val="nil"/>
              <w:bottom w:val="single" w:color="auto" w:sz="4" w:space="0"/>
              <w:right w:val="single" w:color="auto" w:sz="4" w:space="0"/>
            </w:tcBorders>
            <w:shd w:val="clear" w:color="000000" w:fill="FFFFFF"/>
            <w:vAlign w:val="center"/>
          </w:tcPr>
          <w:p>
            <w:pPr>
              <w:widowControl/>
              <w:spacing w:line="190" w:lineRule="exact"/>
              <w:jc w:val="left"/>
              <w:rPr>
                <w:rFonts w:ascii="宋体" w:hAnsi="宋体" w:eastAsia="宋体" w:cs="宋体"/>
                <w:kern w:val="0"/>
                <w:sz w:val="18"/>
                <w:szCs w:val="18"/>
              </w:rPr>
            </w:pPr>
            <w:r>
              <w:rPr>
                <w:rFonts w:hint="eastAsia" w:ascii="宋体" w:hAnsi="宋体" w:eastAsia="宋体" w:cs="宋体"/>
                <w:kern w:val="0"/>
                <w:sz w:val="18"/>
                <w:szCs w:val="18"/>
              </w:rPr>
              <w:t>交通运输部或交通运输部海事局</w:t>
            </w:r>
          </w:p>
        </w:tc>
        <w:tc>
          <w:tcPr>
            <w:tcW w:w="5002" w:type="dxa"/>
            <w:tcBorders>
              <w:top w:val="nil"/>
              <w:left w:val="nil"/>
              <w:bottom w:val="single" w:color="auto" w:sz="4" w:space="0"/>
              <w:right w:val="single" w:color="auto" w:sz="4" w:space="0"/>
            </w:tcBorders>
            <w:shd w:val="clear" w:color="000000" w:fill="FFFFFF"/>
            <w:vAlign w:val="center"/>
          </w:tcPr>
          <w:p>
            <w:pPr>
              <w:widowControl/>
              <w:spacing w:line="190" w:lineRule="exact"/>
              <w:jc w:val="left"/>
              <w:rPr>
                <w:rFonts w:ascii="宋体" w:hAnsi="宋体" w:eastAsia="宋体" w:cs="宋体"/>
                <w:kern w:val="0"/>
                <w:sz w:val="18"/>
                <w:szCs w:val="18"/>
              </w:rPr>
            </w:pPr>
            <w:r>
              <w:rPr>
                <w:rFonts w:hint="eastAsia" w:ascii="宋体" w:hAnsi="宋体" w:eastAsia="宋体" w:cs="宋体"/>
                <w:kern w:val="0"/>
                <w:sz w:val="18"/>
                <w:szCs w:val="18"/>
              </w:rPr>
              <w:t>《国务院对确需保留的行政审批项目设定行政许可的决定》（国务院令第412号）</w:t>
            </w:r>
          </w:p>
          <w:p>
            <w:pPr>
              <w:widowControl/>
              <w:spacing w:line="190" w:lineRule="exact"/>
              <w:jc w:val="left"/>
              <w:rPr>
                <w:rFonts w:ascii="宋体" w:hAnsi="宋体" w:eastAsia="宋体" w:cs="宋体"/>
                <w:kern w:val="0"/>
                <w:sz w:val="18"/>
                <w:szCs w:val="18"/>
              </w:rPr>
            </w:pPr>
            <w:r>
              <w:rPr>
                <w:rFonts w:hint="eastAsia" w:ascii="宋体" w:hAnsi="宋体" w:eastAsia="宋体" w:cs="宋体"/>
                <w:kern w:val="0"/>
                <w:sz w:val="18"/>
                <w:szCs w:val="18"/>
              </w:rPr>
              <w:t>《国务院关于取消和调整一批行政审批项目等事项的决定》（国发〔2014〕50号）</w:t>
            </w:r>
          </w:p>
          <w:p>
            <w:pPr>
              <w:widowControl/>
              <w:spacing w:line="190" w:lineRule="exact"/>
              <w:jc w:val="left"/>
              <w:rPr>
                <w:rFonts w:ascii="宋体" w:hAnsi="宋体" w:eastAsia="宋体" w:cs="宋体"/>
                <w:kern w:val="0"/>
                <w:sz w:val="18"/>
                <w:szCs w:val="18"/>
              </w:rPr>
            </w:pPr>
            <w:r>
              <w:rPr>
                <w:rFonts w:hint="eastAsia" w:ascii="宋体" w:hAnsi="宋体" w:eastAsia="宋体" w:cs="宋体"/>
                <w:kern w:val="0"/>
                <w:sz w:val="18"/>
                <w:szCs w:val="18"/>
              </w:rPr>
              <w:t>《船舶和海上设施检验条例》（国务院令第109号）</w:t>
            </w:r>
          </w:p>
          <w:p>
            <w:pPr>
              <w:widowControl/>
              <w:spacing w:line="190" w:lineRule="exact"/>
              <w:jc w:val="left"/>
              <w:rPr>
                <w:rFonts w:ascii="宋体" w:hAnsi="宋体" w:eastAsia="宋体" w:cs="宋体"/>
                <w:kern w:val="0"/>
                <w:sz w:val="18"/>
                <w:szCs w:val="18"/>
              </w:rPr>
            </w:pPr>
            <w:r>
              <w:rPr>
                <w:rFonts w:hint="eastAsia" w:ascii="宋体" w:hAnsi="宋体" w:eastAsia="宋体" w:cs="宋体"/>
                <w:kern w:val="0"/>
                <w:sz w:val="18"/>
                <w:szCs w:val="18"/>
              </w:rPr>
              <w:t>《船舶引航管理规定》（交通运输部令第10号）</w:t>
            </w:r>
          </w:p>
          <w:p>
            <w:pPr>
              <w:widowControl/>
              <w:spacing w:line="190" w:lineRule="exact"/>
              <w:jc w:val="left"/>
              <w:rPr>
                <w:rFonts w:ascii="宋体" w:hAnsi="宋体" w:eastAsia="宋体" w:cs="宋体"/>
                <w:kern w:val="0"/>
                <w:sz w:val="18"/>
                <w:szCs w:val="18"/>
              </w:rPr>
            </w:pPr>
            <w:r>
              <w:rPr>
                <w:rFonts w:hint="eastAsia" w:ascii="宋体" w:hAnsi="宋体" w:eastAsia="宋体" w:cs="宋体"/>
                <w:kern w:val="0"/>
                <w:sz w:val="18"/>
                <w:szCs w:val="18"/>
              </w:rPr>
              <w:t>《海事行政许可条件规定》（交通运输部令第1号）</w:t>
            </w:r>
          </w:p>
        </w:tc>
        <w:tc>
          <w:tcPr>
            <w:tcW w:w="1261" w:type="dxa"/>
            <w:tcBorders>
              <w:top w:val="nil"/>
              <w:left w:val="nil"/>
              <w:bottom w:val="single" w:color="auto" w:sz="4" w:space="0"/>
              <w:right w:val="single" w:color="auto" w:sz="4" w:space="0"/>
            </w:tcBorders>
            <w:shd w:val="clear" w:color="000000" w:fill="FFFFFF"/>
            <w:vAlign w:val="center"/>
          </w:tcPr>
          <w:p>
            <w:pPr>
              <w:spacing w:line="190" w:lineRule="exact"/>
              <w:rPr>
                <w:rFonts w:ascii="宋体" w:hAnsi="宋体" w:eastAsia="宋体" w:cs="宋体"/>
                <w:sz w:val="18"/>
                <w:szCs w:val="18"/>
              </w:rPr>
            </w:pPr>
            <w:r>
              <w:rPr>
                <w:rFonts w:hint="eastAsia"/>
                <w:sz w:val="18"/>
                <w:szCs w:val="18"/>
              </w:rPr>
              <w:t>引航、验船</w:t>
            </w:r>
          </w:p>
        </w:tc>
      </w:tr>
      <w:tr>
        <w:tblPrEx>
          <w:tblCellMar>
            <w:top w:w="0" w:type="dxa"/>
            <w:left w:w="108" w:type="dxa"/>
            <w:bottom w:w="0" w:type="dxa"/>
            <w:right w:w="108" w:type="dxa"/>
          </w:tblCellMar>
        </w:tblPrEx>
        <w:trPr>
          <w:cantSplit/>
          <w:trHeight w:val="968" w:hRule="atLeast"/>
          <w:jc w:val="center"/>
        </w:trPr>
        <w:tc>
          <w:tcPr>
            <w:tcW w:w="756" w:type="dxa"/>
            <w:tcBorders>
              <w:top w:val="nil"/>
              <w:left w:val="single" w:color="auto" w:sz="4" w:space="0"/>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kern w:val="0"/>
                <w:sz w:val="18"/>
                <w:szCs w:val="18"/>
              </w:rPr>
            </w:pPr>
            <w:r>
              <w:rPr>
                <w:rFonts w:hint="eastAsia" w:ascii="宋体" w:hAnsi="宋体" w:eastAsia="宋体" w:cs="宋体"/>
                <w:kern w:val="0"/>
                <w:sz w:val="18"/>
                <w:szCs w:val="18"/>
              </w:rPr>
              <w:t>69</w:t>
            </w:r>
          </w:p>
        </w:tc>
        <w:tc>
          <w:tcPr>
            <w:tcW w:w="1116" w:type="dxa"/>
            <w:tcBorders>
              <w:top w:val="nil"/>
              <w:left w:val="nil"/>
              <w:bottom w:val="single" w:color="auto" w:sz="4" w:space="0"/>
              <w:right w:val="single" w:color="auto" w:sz="4" w:space="0"/>
            </w:tcBorders>
            <w:shd w:val="clear" w:color="000000" w:fill="FFFFFF"/>
            <w:vAlign w:val="center"/>
          </w:tcPr>
          <w:p>
            <w:pPr>
              <w:widowControl/>
              <w:spacing w:line="250" w:lineRule="exact"/>
              <w:jc w:val="left"/>
              <w:rPr>
                <w:rFonts w:ascii="宋体" w:hAnsi="宋体" w:eastAsia="宋体" w:cs="宋体"/>
                <w:kern w:val="0"/>
                <w:sz w:val="18"/>
                <w:szCs w:val="18"/>
              </w:rPr>
            </w:pPr>
            <w:r>
              <w:rPr>
                <w:rFonts w:hint="eastAsia" w:ascii="宋体" w:hAnsi="宋体" w:eastAsia="宋体" w:cs="宋体"/>
                <w:kern w:val="0"/>
                <w:sz w:val="18"/>
                <w:szCs w:val="18"/>
              </w:rPr>
              <w:t>铁路运输企业准入许可</w:t>
            </w:r>
          </w:p>
        </w:tc>
        <w:tc>
          <w:tcPr>
            <w:tcW w:w="1673" w:type="dxa"/>
            <w:tcBorders>
              <w:top w:val="nil"/>
              <w:left w:val="nil"/>
              <w:bottom w:val="single" w:color="auto" w:sz="4" w:space="0"/>
              <w:right w:val="single" w:color="auto" w:sz="4" w:space="0"/>
            </w:tcBorders>
            <w:shd w:val="clear" w:color="000000" w:fill="FFFFFF"/>
            <w:vAlign w:val="center"/>
          </w:tcPr>
          <w:p>
            <w:pPr>
              <w:widowControl/>
              <w:spacing w:line="250" w:lineRule="exact"/>
              <w:jc w:val="left"/>
              <w:rPr>
                <w:rFonts w:ascii="宋体" w:hAnsi="宋体" w:eastAsia="宋体" w:cs="宋体"/>
                <w:kern w:val="0"/>
                <w:sz w:val="18"/>
                <w:szCs w:val="18"/>
              </w:rPr>
            </w:pPr>
            <w:r>
              <w:rPr>
                <w:rFonts w:hint="eastAsia" w:ascii="宋体" w:hAnsi="宋体" w:eastAsia="宋体" w:cs="宋体"/>
                <w:kern w:val="0"/>
                <w:sz w:val="18"/>
                <w:szCs w:val="18"/>
              </w:rPr>
              <w:t>国家铁路局</w:t>
            </w:r>
          </w:p>
        </w:tc>
        <w:tc>
          <w:tcPr>
            <w:tcW w:w="5002" w:type="dxa"/>
            <w:tcBorders>
              <w:top w:val="nil"/>
              <w:left w:val="nil"/>
              <w:bottom w:val="single" w:color="auto" w:sz="4" w:space="0"/>
              <w:right w:val="single" w:color="auto" w:sz="4" w:space="0"/>
            </w:tcBorders>
            <w:shd w:val="clear" w:color="000000" w:fill="FFFFFF"/>
            <w:vAlign w:val="center"/>
          </w:tcPr>
          <w:p>
            <w:pPr>
              <w:widowControl/>
              <w:spacing w:line="250" w:lineRule="exact"/>
              <w:jc w:val="left"/>
              <w:rPr>
                <w:rFonts w:ascii="宋体" w:hAnsi="宋体" w:eastAsia="宋体" w:cs="宋体"/>
                <w:kern w:val="0"/>
                <w:sz w:val="18"/>
                <w:szCs w:val="18"/>
              </w:rPr>
            </w:pPr>
            <w:r>
              <w:rPr>
                <w:rFonts w:hint="eastAsia" w:ascii="宋体" w:hAnsi="宋体" w:eastAsia="宋体" w:cs="宋体"/>
                <w:kern w:val="0"/>
                <w:sz w:val="18"/>
                <w:szCs w:val="18"/>
              </w:rPr>
              <w:t>《国务院对确需保留的行政审批项目设定行政许可的决定》（国务院令第412号）</w:t>
            </w:r>
          </w:p>
          <w:p>
            <w:pPr>
              <w:widowControl/>
              <w:spacing w:line="250" w:lineRule="exact"/>
              <w:jc w:val="left"/>
              <w:rPr>
                <w:rFonts w:ascii="宋体" w:hAnsi="宋体" w:eastAsia="宋体" w:cs="宋体"/>
                <w:kern w:val="0"/>
                <w:sz w:val="18"/>
                <w:szCs w:val="18"/>
              </w:rPr>
            </w:pPr>
            <w:r>
              <w:rPr>
                <w:rFonts w:hint="eastAsia" w:ascii="宋体" w:hAnsi="宋体" w:eastAsia="宋体" w:cs="宋体"/>
                <w:kern w:val="0"/>
                <w:sz w:val="18"/>
                <w:szCs w:val="18"/>
              </w:rPr>
              <w:t>《国务院关于取消和调整一批行政审批项目等事项的决定》（国发〔2014〕50号）</w:t>
            </w:r>
          </w:p>
        </w:tc>
        <w:tc>
          <w:tcPr>
            <w:tcW w:w="1261" w:type="dxa"/>
            <w:tcBorders>
              <w:top w:val="nil"/>
              <w:left w:val="nil"/>
              <w:bottom w:val="single" w:color="auto" w:sz="4" w:space="0"/>
              <w:right w:val="single" w:color="auto" w:sz="4" w:space="0"/>
            </w:tcBorders>
            <w:shd w:val="clear" w:color="000000" w:fill="FFFFFF"/>
            <w:vAlign w:val="center"/>
          </w:tcPr>
          <w:p>
            <w:pPr>
              <w:spacing w:line="250" w:lineRule="exact"/>
              <w:rPr>
                <w:rFonts w:ascii="宋体" w:hAnsi="宋体" w:eastAsia="宋体" w:cs="宋体"/>
                <w:sz w:val="18"/>
                <w:szCs w:val="18"/>
              </w:rPr>
            </w:pPr>
            <w:r>
              <w:rPr>
                <w:rFonts w:hint="eastAsia"/>
                <w:sz w:val="18"/>
                <w:szCs w:val="18"/>
              </w:rPr>
              <w:t>铁路运输</w:t>
            </w:r>
          </w:p>
        </w:tc>
      </w:tr>
      <w:tr>
        <w:tblPrEx>
          <w:tblCellMar>
            <w:top w:w="0" w:type="dxa"/>
            <w:left w:w="108" w:type="dxa"/>
            <w:bottom w:w="0" w:type="dxa"/>
            <w:right w:w="108" w:type="dxa"/>
          </w:tblCellMar>
        </w:tblPrEx>
        <w:trPr>
          <w:cantSplit/>
          <w:trHeight w:val="684" w:hRule="atLeast"/>
          <w:jc w:val="center"/>
        </w:trPr>
        <w:tc>
          <w:tcPr>
            <w:tcW w:w="756" w:type="dxa"/>
            <w:tcBorders>
              <w:top w:val="nil"/>
              <w:left w:val="single" w:color="auto" w:sz="4" w:space="0"/>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kern w:val="0"/>
                <w:sz w:val="18"/>
                <w:szCs w:val="18"/>
              </w:rPr>
            </w:pPr>
            <w:r>
              <w:rPr>
                <w:rFonts w:hint="eastAsia" w:ascii="宋体" w:hAnsi="宋体" w:eastAsia="宋体" w:cs="宋体"/>
                <w:kern w:val="0"/>
                <w:sz w:val="18"/>
                <w:szCs w:val="18"/>
              </w:rPr>
              <w:t>70</w:t>
            </w:r>
          </w:p>
        </w:tc>
        <w:tc>
          <w:tcPr>
            <w:tcW w:w="1116" w:type="dxa"/>
            <w:tcBorders>
              <w:top w:val="nil"/>
              <w:left w:val="nil"/>
              <w:bottom w:val="single" w:color="auto" w:sz="4" w:space="0"/>
              <w:right w:val="single" w:color="auto" w:sz="4" w:space="0"/>
            </w:tcBorders>
            <w:shd w:val="clear" w:color="000000" w:fill="FFFFFF"/>
            <w:vAlign w:val="center"/>
          </w:tcPr>
          <w:p>
            <w:pPr>
              <w:widowControl/>
              <w:spacing w:line="250" w:lineRule="exact"/>
              <w:jc w:val="left"/>
              <w:rPr>
                <w:rFonts w:ascii="宋体" w:hAnsi="宋体" w:eastAsia="宋体" w:cs="宋体"/>
                <w:kern w:val="0"/>
                <w:sz w:val="18"/>
                <w:szCs w:val="18"/>
              </w:rPr>
            </w:pPr>
            <w:r>
              <w:rPr>
                <w:rFonts w:ascii="宋体" w:hAnsi="宋体" w:eastAsia="宋体" w:cs="宋体"/>
                <w:kern w:val="0"/>
                <w:sz w:val="18"/>
                <w:szCs w:val="18"/>
              </w:rPr>
              <w:t>通用航空企业经营许可</w:t>
            </w:r>
          </w:p>
        </w:tc>
        <w:tc>
          <w:tcPr>
            <w:tcW w:w="1673" w:type="dxa"/>
            <w:tcBorders>
              <w:top w:val="nil"/>
              <w:left w:val="nil"/>
              <w:bottom w:val="single" w:color="auto" w:sz="4" w:space="0"/>
              <w:right w:val="single" w:color="auto" w:sz="4" w:space="0"/>
            </w:tcBorders>
            <w:shd w:val="clear" w:color="000000" w:fill="FFFFFF"/>
            <w:vAlign w:val="center"/>
          </w:tcPr>
          <w:p>
            <w:pPr>
              <w:widowControl/>
              <w:spacing w:line="250" w:lineRule="exact"/>
              <w:jc w:val="left"/>
              <w:rPr>
                <w:rFonts w:ascii="宋体" w:hAnsi="宋体" w:eastAsia="宋体" w:cs="宋体"/>
                <w:kern w:val="0"/>
                <w:sz w:val="18"/>
                <w:szCs w:val="18"/>
              </w:rPr>
            </w:pPr>
            <w:r>
              <w:rPr>
                <w:rFonts w:hint="eastAsia" w:ascii="宋体" w:hAnsi="宋体" w:eastAsia="宋体" w:cs="宋体"/>
                <w:kern w:val="0"/>
                <w:sz w:val="18"/>
                <w:szCs w:val="18"/>
              </w:rPr>
              <w:t>民航地区管理局</w:t>
            </w:r>
          </w:p>
        </w:tc>
        <w:tc>
          <w:tcPr>
            <w:tcW w:w="5002" w:type="dxa"/>
            <w:tcBorders>
              <w:top w:val="nil"/>
              <w:left w:val="nil"/>
              <w:bottom w:val="single" w:color="auto" w:sz="4" w:space="0"/>
              <w:right w:val="single" w:color="auto" w:sz="4" w:space="0"/>
            </w:tcBorders>
            <w:shd w:val="clear" w:color="000000" w:fill="FFFFFF"/>
            <w:vAlign w:val="center"/>
          </w:tcPr>
          <w:p>
            <w:pPr>
              <w:widowControl/>
              <w:spacing w:line="250" w:lineRule="exact"/>
              <w:jc w:val="left"/>
              <w:rPr>
                <w:rFonts w:ascii="宋体" w:hAnsi="宋体" w:eastAsia="宋体" w:cs="宋体"/>
                <w:kern w:val="0"/>
                <w:sz w:val="18"/>
                <w:szCs w:val="18"/>
              </w:rPr>
            </w:pPr>
            <w:r>
              <w:rPr>
                <w:rFonts w:ascii="宋体" w:hAnsi="宋体" w:eastAsia="宋体" w:cs="宋体"/>
                <w:kern w:val="0"/>
                <w:sz w:val="18"/>
                <w:szCs w:val="18"/>
              </w:rPr>
              <w:t>《中华人民共和国民用航空法》《国务院关于第六批决定取消和调整行政审批项目的决定》（国发〔2012〕52号）</w:t>
            </w:r>
          </w:p>
        </w:tc>
        <w:tc>
          <w:tcPr>
            <w:tcW w:w="1261" w:type="dxa"/>
            <w:tcBorders>
              <w:top w:val="nil"/>
              <w:left w:val="nil"/>
              <w:bottom w:val="single" w:color="auto" w:sz="4" w:space="0"/>
              <w:right w:val="single" w:color="auto" w:sz="4" w:space="0"/>
            </w:tcBorders>
            <w:shd w:val="clear" w:color="000000" w:fill="FFFFFF"/>
            <w:vAlign w:val="center"/>
          </w:tcPr>
          <w:p>
            <w:pPr>
              <w:spacing w:line="250" w:lineRule="exact"/>
              <w:jc w:val="left"/>
              <w:rPr>
                <w:rFonts w:ascii="宋体" w:hAnsi="宋体" w:eastAsia="宋体" w:cs="宋体"/>
                <w:kern w:val="0"/>
                <w:sz w:val="18"/>
                <w:szCs w:val="18"/>
              </w:rPr>
            </w:pPr>
            <w:r>
              <w:rPr>
                <w:rFonts w:hint="eastAsia" w:ascii="宋体" w:hAnsi="宋体" w:eastAsia="宋体" w:cs="宋体"/>
                <w:kern w:val="0"/>
                <w:sz w:val="18"/>
                <w:szCs w:val="18"/>
              </w:rPr>
              <w:t>通用航空</w:t>
            </w:r>
          </w:p>
        </w:tc>
      </w:tr>
      <w:tr>
        <w:tblPrEx>
          <w:tblCellMar>
            <w:top w:w="0" w:type="dxa"/>
            <w:left w:w="108" w:type="dxa"/>
            <w:bottom w:w="0" w:type="dxa"/>
            <w:right w:w="108" w:type="dxa"/>
          </w:tblCellMar>
        </w:tblPrEx>
        <w:trPr>
          <w:cantSplit/>
          <w:trHeight w:val="892" w:hRule="atLeast"/>
          <w:jc w:val="center"/>
        </w:trPr>
        <w:tc>
          <w:tcPr>
            <w:tcW w:w="756" w:type="dxa"/>
            <w:tcBorders>
              <w:top w:val="nil"/>
              <w:left w:val="single" w:color="auto" w:sz="4" w:space="0"/>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kern w:val="0"/>
                <w:sz w:val="18"/>
                <w:szCs w:val="18"/>
              </w:rPr>
            </w:pPr>
            <w:r>
              <w:rPr>
                <w:rFonts w:hint="eastAsia" w:ascii="宋体" w:hAnsi="宋体" w:eastAsia="宋体" w:cs="宋体"/>
                <w:kern w:val="0"/>
                <w:sz w:val="18"/>
                <w:szCs w:val="18"/>
              </w:rPr>
              <w:t>71</w:t>
            </w:r>
          </w:p>
        </w:tc>
        <w:tc>
          <w:tcPr>
            <w:tcW w:w="1116" w:type="dxa"/>
            <w:tcBorders>
              <w:top w:val="nil"/>
              <w:left w:val="nil"/>
              <w:bottom w:val="single" w:color="auto" w:sz="4" w:space="0"/>
              <w:right w:val="single" w:color="auto" w:sz="4" w:space="0"/>
            </w:tcBorders>
            <w:shd w:val="clear" w:color="000000" w:fill="FFFFFF"/>
            <w:vAlign w:val="center"/>
          </w:tcPr>
          <w:p>
            <w:pPr>
              <w:widowControl/>
              <w:spacing w:line="250" w:lineRule="exact"/>
              <w:jc w:val="left"/>
              <w:rPr>
                <w:rFonts w:ascii="宋体" w:hAnsi="宋体" w:eastAsia="宋体" w:cs="宋体"/>
                <w:kern w:val="0"/>
                <w:sz w:val="18"/>
                <w:szCs w:val="18"/>
              </w:rPr>
            </w:pPr>
            <w:r>
              <w:rPr>
                <w:rFonts w:hint="eastAsia" w:ascii="宋体" w:hAnsi="宋体" w:eastAsia="宋体" w:cs="宋体"/>
                <w:kern w:val="0"/>
                <w:sz w:val="18"/>
                <w:szCs w:val="18"/>
              </w:rPr>
              <w:t>民用航空器维修单位维修许可</w:t>
            </w:r>
          </w:p>
        </w:tc>
        <w:tc>
          <w:tcPr>
            <w:tcW w:w="1673" w:type="dxa"/>
            <w:tcBorders>
              <w:top w:val="nil"/>
              <w:left w:val="nil"/>
              <w:bottom w:val="single" w:color="auto" w:sz="4" w:space="0"/>
              <w:right w:val="single" w:color="auto" w:sz="4" w:space="0"/>
            </w:tcBorders>
            <w:shd w:val="clear" w:color="000000" w:fill="FFFFFF"/>
            <w:vAlign w:val="center"/>
          </w:tcPr>
          <w:p>
            <w:pPr>
              <w:widowControl/>
              <w:spacing w:line="250" w:lineRule="exact"/>
              <w:jc w:val="left"/>
              <w:rPr>
                <w:rFonts w:ascii="宋体" w:hAnsi="宋体" w:eastAsia="宋体" w:cs="宋体"/>
                <w:kern w:val="0"/>
                <w:sz w:val="18"/>
                <w:szCs w:val="18"/>
              </w:rPr>
            </w:pPr>
            <w:r>
              <w:rPr>
                <w:rFonts w:hint="eastAsia" w:ascii="宋体" w:hAnsi="宋体" w:eastAsia="宋体" w:cs="宋体"/>
                <w:kern w:val="0"/>
                <w:sz w:val="18"/>
                <w:szCs w:val="18"/>
              </w:rPr>
              <w:t>中国民航局或民航地区管理局</w:t>
            </w:r>
          </w:p>
        </w:tc>
        <w:tc>
          <w:tcPr>
            <w:tcW w:w="5002" w:type="dxa"/>
            <w:tcBorders>
              <w:top w:val="nil"/>
              <w:left w:val="nil"/>
              <w:bottom w:val="single" w:color="auto" w:sz="4" w:space="0"/>
              <w:right w:val="single" w:color="auto" w:sz="4" w:space="0"/>
            </w:tcBorders>
            <w:shd w:val="clear" w:color="000000" w:fill="FFFFFF"/>
            <w:vAlign w:val="center"/>
          </w:tcPr>
          <w:p>
            <w:pPr>
              <w:widowControl/>
              <w:spacing w:line="250" w:lineRule="exact"/>
              <w:jc w:val="left"/>
              <w:rPr>
                <w:rFonts w:ascii="宋体" w:hAnsi="宋体" w:eastAsia="宋体" w:cs="宋体"/>
                <w:kern w:val="0"/>
                <w:sz w:val="18"/>
                <w:szCs w:val="18"/>
              </w:rPr>
            </w:pPr>
            <w:r>
              <w:rPr>
                <w:rFonts w:hint="eastAsia" w:ascii="宋体" w:hAnsi="宋体" w:eastAsia="宋体" w:cs="宋体"/>
                <w:kern w:val="0"/>
                <w:sz w:val="18"/>
                <w:szCs w:val="18"/>
              </w:rPr>
              <w:t>《民用航空法》</w:t>
            </w:r>
          </w:p>
          <w:p>
            <w:pPr>
              <w:widowControl/>
              <w:spacing w:line="250" w:lineRule="exact"/>
              <w:jc w:val="left"/>
              <w:rPr>
                <w:rFonts w:ascii="宋体" w:hAnsi="宋体" w:eastAsia="宋体" w:cs="宋体"/>
                <w:kern w:val="0"/>
                <w:sz w:val="18"/>
                <w:szCs w:val="18"/>
              </w:rPr>
            </w:pPr>
            <w:r>
              <w:rPr>
                <w:rFonts w:hint="eastAsia" w:ascii="宋体" w:hAnsi="宋体" w:eastAsia="宋体" w:cs="宋体"/>
                <w:kern w:val="0"/>
                <w:sz w:val="18"/>
                <w:szCs w:val="18"/>
              </w:rPr>
              <w:t>《国务院关于取消和调整一批行政审批项目等事项的决定》（国发〔2014〕50号）</w:t>
            </w:r>
          </w:p>
        </w:tc>
        <w:tc>
          <w:tcPr>
            <w:tcW w:w="1261" w:type="dxa"/>
            <w:tcBorders>
              <w:top w:val="nil"/>
              <w:left w:val="nil"/>
              <w:bottom w:val="single" w:color="auto" w:sz="4" w:space="0"/>
              <w:right w:val="single" w:color="auto" w:sz="4" w:space="0"/>
            </w:tcBorders>
            <w:shd w:val="clear" w:color="000000" w:fill="FFFFFF"/>
            <w:vAlign w:val="center"/>
          </w:tcPr>
          <w:p>
            <w:pPr>
              <w:spacing w:line="250" w:lineRule="exact"/>
              <w:rPr>
                <w:rFonts w:ascii="宋体" w:hAnsi="宋体" w:eastAsia="宋体" w:cs="宋体"/>
                <w:sz w:val="18"/>
                <w:szCs w:val="18"/>
              </w:rPr>
            </w:pPr>
            <w:r>
              <w:rPr>
                <w:rFonts w:hint="eastAsia"/>
                <w:sz w:val="18"/>
                <w:szCs w:val="18"/>
              </w:rPr>
              <w:t>航空器维修</w:t>
            </w:r>
          </w:p>
        </w:tc>
      </w:tr>
      <w:tr>
        <w:tblPrEx>
          <w:tblCellMar>
            <w:top w:w="0" w:type="dxa"/>
            <w:left w:w="108" w:type="dxa"/>
            <w:bottom w:w="0" w:type="dxa"/>
            <w:right w:w="108" w:type="dxa"/>
          </w:tblCellMar>
        </w:tblPrEx>
        <w:trPr>
          <w:cantSplit/>
          <w:trHeight w:val="1112" w:hRule="atLeast"/>
          <w:jc w:val="center"/>
        </w:trPr>
        <w:tc>
          <w:tcPr>
            <w:tcW w:w="756" w:type="dxa"/>
            <w:tcBorders>
              <w:top w:val="nil"/>
              <w:left w:val="single" w:color="auto" w:sz="4" w:space="0"/>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kern w:val="0"/>
                <w:sz w:val="18"/>
                <w:szCs w:val="18"/>
              </w:rPr>
            </w:pPr>
            <w:r>
              <w:rPr>
                <w:rFonts w:hint="eastAsia" w:ascii="宋体" w:hAnsi="宋体" w:eastAsia="宋体" w:cs="宋体"/>
                <w:kern w:val="0"/>
                <w:sz w:val="18"/>
                <w:szCs w:val="18"/>
              </w:rPr>
              <w:t>72</w:t>
            </w:r>
          </w:p>
        </w:tc>
        <w:tc>
          <w:tcPr>
            <w:tcW w:w="1116" w:type="dxa"/>
            <w:tcBorders>
              <w:top w:val="nil"/>
              <w:left w:val="nil"/>
              <w:bottom w:val="single" w:color="auto" w:sz="4" w:space="0"/>
              <w:right w:val="single" w:color="auto" w:sz="4" w:space="0"/>
            </w:tcBorders>
            <w:shd w:val="clear" w:color="000000" w:fill="FFFFFF"/>
            <w:vAlign w:val="center"/>
          </w:tcPr>
          <w:p>
            <w:pPr>
              <w:widowControl/>
              <w:spacing w:line="250" w:lineRule="exact"/>
              <w:jc w:val="left"/>
              <w:rPr>
                <w:rFonts w:ascii="宋体" w:hAnsi="宋体" w:eastAsia="宋体" w:cs="宋体"/>
                <w:kern w:val="0"/>
                <w:sz w:val="18"/>
                <w:szCs w:val="18"/>
              </w:rPr>
            </w:pPr>
            <w:r>
              <w:rPr>
                <w:rFonts w:ascii="宋体" w:hAnsi="宋体" w:eastAsia="宋体" w:cs="宋体"/>
                <w:kern w:val="0"/>
                <w:sz w:val="18"/>
                <w:szCs w:val="18"/>
              </w:rPr>
              <w:t>民用航空器（发动机、螺旋桨）生产许可</w:t>
            </w:r>
          </w:p>
        </w:tc>
        <w:tc>
          <w:tcPr>
            <w:tcW w:w="1673" w:type="dxa"/>
            <w:tcBorders>
              <w:top w:val="nil"/>
              <w:left w:val="nil"/>
              <w:bottom w:val="single" w:color="auto" w:sz="4" w:space="0"/>
              <w:right w:val="single" w:color="auto" w:sz="4" w:space="0"/>
            </w:tcBorders>
            <w:shd w:val="clear" w:color="000000" w:fill="FFFFFF"/>
            <w:vAlign w:val="center"/>
          </w:tcPr>
          <w:p>
            <w:pPr>
              <w:widowControl/>
              <w:spacing w:line="250" w:lineRule="exact"/>
              <w:jc w:val="left"/>
              <w:rPr>
                <w:rFonts w:ascii="宋体" w:hAnsi="宋体" w:eastAsia="宋体" w:cs="宋体"/>
                <w:kern w:val="0"/>
                <w:sz w:val="18"/>
                <w:szCs w:val="18"/>
              </w:rPr>
            </w:pPr>
            <w:r>
              <w:rPr>
                <w:rFonts w:hint="eastAsia" w:ascii="宋体" w:hAnsi="宋体" w:eastAsia="宋体" w:cs="宋体"/>
                <w:kern w:val="0"/>
                <w:sz w:val="18"/>
                <w:szCs w:val="18"/>
              </w:rPr>
              <w:t>民航地区管理局</w:t>
            </w:r>
          </w:p>
        </w:tc>
        <w:tc>
          <w:tcPr>
            <w:tcW w:w="5002" w:type="dxa"/>
            <w:tcBorders>
              <w:top w:val="nil"/>
              <w:left w:val="nil"/>
              <w:bottom w:val="single" w:color="auto" w:sz="4" w:space="0"/>
              <w:right w:val="single" w:color="auto" w:sz="4" w:space="0"/>
            </w:tcBorders>
            <w:shd w:val="clear" w:color="000000" w:fill="FFFFFF"/>
            <w:vAlign w:val="center"/>
          </w:tcPr>
          <w:p>
            <w:pPr>
              <w:widowControl/>
              <w:spacing w:line="250" w:lineRule="exact"/>
              <w:jc w:val="left"/>
              <w:rPr>
                <w:rFonts w:ascii="宋体" w:hAnsi="宋体" w:eastAsia="宋体" w:cs="宋体"/>
                <w:kern w:val="0"/>
                <w:sz w:val="18"/>
                <w:szCs w:val="18"/>
              </w:rPr>
            </w:pPr>
            <w:r>
              <w:rPr>
                <w:rFonts w:hint="eastAsia" w:ascii="宋体" w:hAnsi="宋体" w:eastAsia="宋体" w:cs="宋体"/>
                <w:kern w:val="0"/>
                <w:sz w:val="18"/>
                <w:szCs w:val="18"/>
              </w:rPr>
              <w:t>《民用航空法》</w:t>
            </w:r>
          </w:p>
          <w:p>
            <w:pPr>
              <w:widowControl/>
              <w:spacing w:line="250" w:lineRule="exact"/>
              <w:jc w:val="left"/>
              <w:rPr>
                <w:rFonts w:ascii="宋体" w:hAnsi="宋体" w:eastAsia="宋体" w:cs="宋体"/>
                <w:kern w:val="0"/>
                <w:sz w:val="18"/>
                <w:szCs w:val="18"/>
              </w:rPr>
            </w:pPr>
            <w:r>
              <w:rPr>
                <w:rFonts w:hint="eastAsia" w:ascii="宋体" w:hAnsi="宋体" w:eastAsia="宋体" w:cs="宋体"/>
                <w:kern w:val="0"/>
                <w:sz w:val="18"/>
                <w:szCs w:val="18"/>
              </w:rPr>
              <w:t>《国务院</w:t>
            </w:r>
            <w:r>
              <w:rPr>
                <w:rFonts w:hint="eastAsia" w:ascii="宋体" w:hAnsi="宋体" w:eastAsia="宋体" w:cs="宋体"/>
                <w:bCs/>
                <w:kern w:val="0"/>
                <w:sz w:val="18"/>
                <w:szCs w:val="18"/>
              </w:rPr>
              <w:t>关于进一步消减工商登记前置审批事项的决定》（</w:t>
            </w:r>
            <w:r>
              <w:rPr>
                <w:rFonts w:hint="eastAsia" w:ascii="宋体" w:hAnsi="宋体" w:eastAsia="宋体" w:cs="宋体"/>
                <w:kern w:val="0"/>
                <w:sz w:val="18"/>
                <w:szCs w:val="18"/>
              </w:rPr>
              <w:t>国发〔2017〕32号）</w:t>
            </w:r>
          </w:p>
        </w:tc>
        <w:tc>
          <w:tcPr>
            <w:tcW w:w="1261" w:type="dxa"/>
            <w:tcBorders>
              <w:top w:val="nil"/>
              <w:left w:val="nil"/>
              <w:bottom w:val="single" w:color="auto" w:sz="4" w:space="0"/>
              <w:right w:val="single" w:color="auto" w:sz="4" w:space="0"/>
            </w:tcBorders>
            <w:shd w:val="clear" w:color="000000" w:fill="FFFFFF"/>
            <w:vAlign w:val="center"/>
          </w:tcPr>
          <w:p>
            <w:pPr>
              <w:spacing w:line="250" w:lineRule="exact"/>
              <w:rPr>
                <w:sz w:val="18"/>
                <w:szCs w:val="18"/>
              </w:rPr>
            </w:pPr>
            <w:r>
              <w:rPr>
                <w:rFonts w:hint="eastAsia"/>
                <w:sz w:val="18"/>
                <w:szCs w:val="18"/>
              </w:rPr>
              <w:t>航空器、发动机、螺旋浆</w:t>
            </w:r>
          </w:p>
        </w:tc>
      </w:tr>
      <w:tr>
        <w:tblPrEx>
          <w:tblCellMar>
            <w:top w:w="0" w:type="dxa"/>
            <w:left w:w="108" w:type="dxa"/>
            <w:bottom w:w="0" w:type="dxa"/>
            <w:right w:w="108" w:type="dxa"/>
          </w:tblCellMar>
        </w:tblPrEx>
        <w:trPr>
          <w:cantSplit/>
          <w:trHeight w:val="824" w:hRule="atLeast"/>
          <w:jc w:val="center"/>
        </w:trPr>
        <w:tc>
          <w:tcPr>
            <w:tcW w:w="756" w:type="dxa"/>
            <w:tcBorders>
              <w:top w:val="nil"/>
              <w:left w:val="single" w:color="auto" w:sz="4" w:space="0"/>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kern w:val="0"/>
                <w:sz w:val="18"/>
                <w:szCs w:val="18"/>
              </w:rPr>
            </w:pPr>
            <w:r>
              <w:rPr>
                <w:rFonts w:hint="eastAsia" w:ascii="宋体" w:hAnsi="宋体" w:eastAsia="宋体" w:cs="宋体"/>
                <w:kern w:val="0"/>
                <w:sz w:val="18"/>
                <w:szCs w:val="18"/>
              </w:rPr>
              <w:t>73</w:t>
            </w:r>
          </w:p>
        </w:tc>
        <w:tc>
          <w:tcPr>
            <w:tcW w:w="1116" w:type="dxa"/>
            <w:tcBorders>
              <w:top w:val="nil"/>
              <w:left w:val="nil"/>
              <w:bottom w:val="single" w:color="auto" w:sz="4" w:space="0"/>
              <w:right w:val="single" w:color="auto" w:sz="4" w:space="0"/>
            </w:tcBorders>
            <w:shd w:val="clear" w:color="000000" w:fill="FFFFFF"/>
            <w:vAlign w:val="center"/>
          </w:tcPr>
          <w:p>
            <w:pPr>
              <w:widowControl/>
              <w:spacing w:line="250" w:lineRule="exact"/>
              <w:jc w:val="left"/>
              <w:rPr>
                <w:rFonts w:ascii="宋体" w:hAnsi="宋体" w:eastAsia="宋体" w:cs="宋体"/>
                <w:kern w:val="0"/>
                <w:sz w:val="18"/>
                <w:szCs w:val="18"/>
              </w:rPr>
            </w:pPr>
            <w:r>
              <w:rPr>
                <w:rFonts w:hint="eastAsia" w:ascii="宋体" w:hAnsi="宋体" w:eastAsia="宋体" w:cs="宋体"/>
                <w:kern w:val="0"/>
                <w:sz w:val="18"/>
                <w:szCs w:val="18"/>
              </w:rPr>
              <w:t>公共航空运输企业经营许可</w:t>
            </w:r>
          </w:p>
        </w:tc>
        <w:tc>
          <w:tcPr>
            <w:tcW w:w="1673" w:type="dxa"/>
            <w:tcBorders>
              <w:top w:val="nil"/>
              <w:left w:val="nil"/>
              <w:bottom w:val="single" w:color="auto" w:sz="4" w:space="0"/>
              <w:right w:val="single" w:color="auto" w:sz="4" w:space="0"/>
            </w:tcBorders>
            <w:shd w:val="clear" w:color="000000" w:fill="FFFFFF"/>
            <w:vAlign w:val="center"/>
          </w:tcPr>
          <w:p>
            <w:pPr>
              <w:widowControl/>
              <w:spacing w:line="250" w:lineRule="exact"/>
              <w:jc w:val="left"/>
              <w:rPr>
                <w:rFonts w:ascii="宋体" w:hAnsi="宋体" w:eastAsia="宋体" w:cs="宋体"/>
                <w:kern w:val="0"/>
                <w:sz w:val="18"/>
                <w:szCs w:val="18"/>
              </w:rPr>
            </w:pPr>
            <w:r>
              <w:rPr>
                <w:rFonts w:hint="eastAsia" w:ascii="宋体" w:hAnsi="宋体" w:eastAsia="宋体" w:cs="宋体"/>
                <w:kern w:val="0"/>
                <w:sz w:val="18"/>
                <w:szCs w:val="18"/>
              </w:rPr>
              <w:t>中国民航局</w:t>
            </w:r>
          </w:p>
        </w:tc>
        <w:tc>
          <w:tcPr>
            <w:tcW w:w="5002" w:type="dxa"/>
            <w:tcBorders>
              <w:top w:val="nil"/>
              <w:left w:val="nil"/>
              <w:bottom w:val="single" w:color="auto" w:sz="4" w:space="0"/>
              <w:right w:val="single" w:color="auto" w:sz="4" w:space="0"/>
            </w:tcBorders>
            <w:shd w:val="clear" w:color="000000" w:fill="FFFFFF"/>
            <w:vAlign w:val="center"/>
          </w:tcPr>
          <w:p>
            <w:pPr>
              <w:widowControl/>
              <w:spacing w:line="250" w:lineRule="exact"/>
              <w:jc w:val="left"/>
              <w:rPr>
                <w:rFonts w:ascii="宋体" w:hAnsi="宋体" w:eastAsia="宋体" w:cs="宋体"/>
                <w:kern w:val="0"/>
                <w:sz w:val="18"/>
                <w:szCs w:val="18"/>
              </w:rPr>
            </w:pPr>
            <w:r>
              <w:rPr>
                <w:rFonts w:hint="eastAsia" w:ascii="宋体" w:hAnsi="宋体" w:eastAsia="宋体" w:cs="宋体"/>
                <w:kern w:val="0"/>
                <w:sz w:val="18"/>
                <w:szCs w:val="18"/>
              </w:rPr>
              <w:t>《民用航空法》</w:t>
            </w:r>
          </w:p>
        </w:tc>
        <w:tc>
          <w:tcPr>
            <w:tcW w:w="1261" w:type="dxa"/>
            <w:tcBorders>
              <w:top w:val="nil"/>
              <w:left w:val="nil"/>
              <w:bottom w:val="single" w:color="auto" w:sz="4" w:space="0"/>
              <w:right w:val="single" w:color="auto" w:sz="4" w:space="0"/>
            </w:tcBorders>
            <w:shd w:val="clear" w:color="000000" w:fill="FFFFFF"/>
            <w:vAlign w:val="center"/>
          </w:tcPr>
          <w:p>
            <w:pPr>
              <w:spacing w:line="250" w:lineRule="exact"/>
              <w:rPr>
                <w:rFonts w:ascii="宋体" w:hAnsi="宋体" w:eastAsia="宋体" w:cs="宋体"/>
                <w:sz w:val="18"/>
                <w:szCs w:val="18"/>
              </w:rPr>
            </w:pPr>
            <w:r>
              <w:rPr>
                <w:rFonts w:hint="eastAsia"/>
                <w:sz w:val="18"/>
                <w:szCs w:val="18"/>
              </w:rPr>
              <w:t>航空运输</w:t>
            </w:r>
          </w:p>
        </w:tc>
      </w:tr>
      <w:tr>
        <w:tblPrEx>
          <w:tblCellMar>
            <w:top w:w="0" w:type="dxa"/>
            <w:left w:w="108" w:type="dxa"/>
            <w:bottom w:w="0" w:type="dxa"/>
            <w:right w:w="108" w:type="dxa"/>
          </w:tblCellMar>
        </w:tblPrEx>
        <w:trPr>
          <w:cantSplit/>
          <w:trHeight w:val="1063" w:hRule="atLeast"/>
          <w:jc w:val="center"/>
        </w:trPr>
        <w:tc>
          <w:tcPr>
            <w:tcW w:w="756" w:type="dxa"/>
            <w:tcBorders>
              <w:top w:val="nil"/>
              <w:left w:val="single" w:color="auto" w:sz="4" w:space="0"/>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kern w:val="0"/>
                <w:sz w:val="18"/>
                <w:szCs w:val="18"/>
              </w:rPr>
            </w:pPr>
            <w:r>
              <w:rPr>
                <w:rFonts w:hint="eastAsia" w:ascii="宋体" w:hAnsi="宋体" w:eastAsia="宋体" w:cs="宋体"/>
                <w:kern w:val="0"/>
                <w:sz w:val="18"/>
                <w:szCs w:val="18"/>
              </w:rPr>
              <w:t>74</w:t>
            </w:r>
          </w:p>
        </w:tc>
        <w:tc>
          <w:tcPr>
            <w:tcW w:w="1116" w:type="dxa"/>
            <w:tcBorders>
              <w:top w:val="nil"/>
              <w:left w:val="nil"/>
              <w:bottom w:val="single" w:color="auto" w:sz="4" w:space="0"/>
              <w:right w:val="single" w:color="auto" w:sz="4" w:space="0"/>
            </w:tcBorders>
            <w:shd w:val="clear" w:color="000000" w:fill="FFFFFF"/>
            <w:vAlign w:val="center"/>
          </w:tcPr>
          <w:p>
            <w:pPr>
              <w:widowControl/>
              <w:spacing w:line="250" w:lineRule="exact"/>
              <w:jc w:val="left"/>
              <w:rPr>
                <w:rFonts w:ascii="宋体" w:hAnsi="宋体" w:eastAsia="宋体" w:cs="宋体"/>
                <w:kern w:val="0"/>
                <w:sz w:val="18"/>
                <w:szCs w:val="18"/>
              </w:rPr>
            </w:pPr>
            <w:r>
              <w:rPr>
                <w:rFonts w:ascii="宋体" w:hAnsi="宋体" w:eastAsia="宋体" w:cs="宋体"/>
                <w:kern w:val="0"/>
                <w:sz w:val="18"/>
                <w:szCs w:val="18"/>
              </w:rPr>
              <w:t>外航驻华常设机构设立审批</w:t>
            </w:r>
          </w:p>
        </w:tc>
        <w:tc>
          <w:tcPr>
            <w:tcW w:w="1673" w:type="dxa"/>
            <w:tcBorders>
              <w:top w:val="nil"/>
              <w:left w:val="nil"/>
              <w:bottom w:val="single" w:color="auto" w:sz="4" w:space="0"/>
              <w:right w:val="single" w:color="auto" w:sz="4" w:space="0"/>
            </w:tcBorders>
            <w:shd w:val="clear" w:color="000000" w:fill="FFFFFF"/>
            <w:vAlign w:val="center"/>
          </w:tcPr>
          <w:p>
            <w:pPr>
              <w:widowControl/>
              <w:spacing w:line="250" w:lineRule="exact"/>
              <w:jc w:val="left"/>
              <w:rPr>
                <w:rFonts w:ascii="宋体" w:hAnsi="宋体" w:eastAsia="宋体" w:cs="宋体"/>
                <w:kern w:val="0"/>
                <w:sz w:val="18"/>
                <w:szCs w:val="18"/>
              </w:rPr>
            </w:pPr>
            <w:r>
              <w:rPr>
                <w:rFonts w:hint="eastAsia" w:ascii="宋体" w:hAnsi="宋体" w:eastAsia="宋体" w:cs="宋体"/>
                <w:kern w:val="0"/>
                <w:sz w:val="18"/>
                <w:szCs w:val="18"/>
              </w:rPr>
              <w:t>中国民航局</w:t>
            </w:r>
          </w:p>
        </w:tc>
        <w:tc>
          <w:tcPr>
            <w:tcW w:w="5002" w:type="dxa"/>
            <w:tcBorders>
              <w:top w:val="nil"/>
              <w:left w:val="nil"/>
              <w:bottom w:val="single" w:color="auto" w:sz="4" w:space="0"/>
              <w:right w:val="single" w:color="auto" w:sz="4" w:space="0"/>
            </w:tcBorders>
            <w:shd w:val="clear" w:color="000000" w:fill="FFFFFF"/>
            <w:vAlign w:val="center"/>
          </w:tcPr>
          <w:p>
            <w:pPr>
              <w:widowControl/>
              <w:spacing w:line="250" w:lineRule="exact"/>
              <w:jc w:val="left"/>
              <w:rPr>
                <w:rFonts w:ascii="宋体" w:hAnsi="宋体" w:eastAsia="宋体" w:cs="宋体"/>
                <w:kern w:val="0"/>
                <w:sz w:val="18"/>
                <w:szCs w:val="18"/>
              </w:rPr>
            </w:pPr>
            <w:r>
              <w:rPr>
                <w:rFonts w:hint="eastAsia" w:ascii="宋体" w:hAnsi="宋体" w:eastAsia="宋体" w:cs="宋体"/>
                <w:kern w:val="0"/>
                <w:sz w:val="18"/>
                <w:szCs w:val="18"/>
              </w:rPr>
              <w:t>《国务院关于管理外国企业常驻代表机构的暂行规定》（国发〔1980〕272号）</w:t>
            </w:r>
          </w:p>
          <w:p>
            <w:pPr>
              <w:widowControl/>
              <w:spacing w:line="250" w:lineRule="exact"/>
              <w:jc w:val="left"/>
              <w:rPr>
                <w:rFonts w:ascii="宋体" w:hAnsi="宋体" w:eastAsia="宋体" w:cs="宋体"/>
                <w:kern w:val="0"/>
                <w:sz w:val="18"/>
                <w:szCs w:val="18"/>
              </w:rPr>
            </w:pPr>
            <w:r>
              <w:rPr>
                <w:rFonts w:hint="eastAsia" w:ascii="宋体" w:hAnsi="宋体" w:eastAsia="宋体" w:cs="宋体"/>
                <w:kern w:val="0"/>
                <w:sz w:val="18"/>
                <w:szCs w:val="18"/>
              </w:rPr>
              <w:t>《国务院</w:t>
            </w:r>
            <w:r>
              <w:rPr>
                <w:rFonts w:hint="eastAsia" w:ascii="宋体" w:hAnsi="宋体" w:eastAsia="宋体" w:cs="宋体"/>
                <w:bCs/>
                <w:kern w:val="0"/>
                <w:sz w:val="18"/>
                <w:szCs w:val="18"/>
              </w:rPr>
              <w:t>关于进一步消减工商登记前置审批事项的决定》（</w:t>
            </w:r>
            <w:r>
              <w:rPr>
                <w:rFonts w:hint="eastAsia" w:ascii="宋体" w:hAnsi="宋体" w:eastAsia="宋体" w:cs="宋体"/>
                <w:kern w:val="0"/>
                <w:sz w:val="18"/>
                <w:szCs w:val="18"/>
              </w:rPr>
              <w:t>国发〔2017〕32号）</w:t>
            </w:r>
          </w:p>
        </w:tc>
        <w:tc>
          <w:tcPr>
            <w:tcW w:w="1261" w:type="dxa"/>
            <w:tcBorders>
              <w:top w:val="nil"/>
              <w:left w:val="nil"/>
              <w:bottom w:val="single" w:color="auto" w:sz="4" w:space="0"/>
              <w:right w:val="single" w:color="auto" w:sz="4" w:space="0"/>
            </w:tcBorders>
            <w:shd w:val="clear" w:color="000000" w:fill="FFFFFF"/>
            <w:vAlign w:val="center"/>
          </w:tcPr>
          <w:p>
            <w:pPr>
              <w:spacing w:line="250" w:lineRule="exact"/>
              <w:rPr>
                <w:sz w:val="18"/>
                <w:szCs w:val="18"/>
              </w:rPr>
            </w:pPr>
            <w:r>
              <w:rPr>
                <w:rFonts w:hint="eastAsia"/>
                <w:sz w:val="18"/>
                <w:szCs w:val="18"/>
              </w:rPr>
              <w:t>国际航空运输</w:t>
            </w:r>
          </w:p>
        </w:tc>
      </w:tr>
      <w:tr>
        <w:tblPrEx>
          <w:tblCellMar>
            <w:top w:w="0" w:type="dxa"/>
            <w:left w:w="108" w:type="dxa"/>
            <w:bottom w:w="0" w:type="dxa"/>
            <w:right w:w="108" w:type="dxa"/>
          </w:tblCellMar>
        </w:tblPrEx>
        <w:trPr>
          <w:cantSplit/>
          <w:trHeight w:val="565" w:hRule="atLeast"/>
          <w:jc w:val="center"/>
        </w:trPr>
        <w:tc>
          <w:tcPr>
            <w:tcW w:w="756" w:type="dxa"/>
            <w:tcBorders>
              <w:top w:val="nil"/>
              <w:left w:val="single" w:color="auto" w:sz="4" w:space="0"/>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kern w:val="0"/>
                <w:sz w:val="18"/>
                <w:szCs w:val="18"/>
              </w:rPr>
            </w:pPr>
            <w:r>
              <w:rPr>
                <w:rFonts w:hint="eastAsia" w:ascii="宋体" w:hAnsi="宋体" w:eastAsia="宋体" w:cs="宋体"/>
                <w:kern w:val="0"/>
                <w:sz w:val="18"/>
                <w:szCs w:val="18"/>
              </w:rPr>
              <w:t>75</w:t>
            </w:r>
          </w:p>
        </w:tc>
        <w:tc>
          <w:tcPr>
            <w:tcW w:w="1116" w:type="dxa"/>
            <w:tcBorders>
              <w:top w:val="nil"/>
              <w:left w:val="nil"/>
              <w:bottom w:val="single" w:color="auto" w:sz="4" w:space="0"/>
              <w:right w:val="single" w:color="auto" w:sz="4" w:space="0"/>
            </w:tcBorders>
            <w:shd w:val="clear" w:color="000000" w:fill="FFFFFF"/>
            <w:vAlign w:val="center"/>
          </w:tcPr>
          <w:p>
            <w:pPr>
              <w:widowControl/>
              <w:spacing w:line="250" w:lineRule="exact"/>
              <w:jc w:val="left"/>
              <w:rPr>
                <w:rFonts w:ascii="宋体" w:hAnsi="宋体" w:eastAsia="宋体" w:cs="宋体"/>
                <w:kern w:val="0"/>
                <w:sz w:val="18"/>
                <w:szCs w:val="18"/>
              </w:rPr>
            </w:pPr>
            <w:r>
              <w:rPr>
                <w:rFonts w:hint="eastAsia" w:ascii="宋体" w:hAnsi="宋体" w:eastAsia="宋体" w:cs="宋体"/>
                <w:kern w:val="0"/>
                <w:sz w:val="18"/>
                <w:szCs w:val="18"/>
              </w:rPr>
              <w:t>从事船员培训业务许可</w:t>
            </w:r>
          </w:p>
        </w:tc>
        <w:tc>
          <w:tcPr>
            <w:tcW w:w="1673" w:type="dxa"/>
            <w:tcBorders>
              <w:top w:val="nil"/>
              <w:left w:val="nil"/>
              <w:bottom w:val="single" w:color="auto" w:sz="4" w:space="0"/>
              <w:right w:val="single" w:color="auto" w:sz="4" w:space="0"/>
            </w:tcBorders>
            <w:shd w:val="clear" w:color="000000" w:fill="FFFFFF"/>
            <w:vAlign w:val="center"/>
          </w:tcPr>
          <w:p>
            <w:pPr>
              <w:widowControl/>
              <w:spacing w:line="250" w:lineRule="exact"/>
              <w:jc w:val="left"/>
              <w:rPr>
                <w:rFonts w:ascii="宋体" w:hAnsi="宋体" w:eastAsia="宋体" w:cs="宋体"/>
                <w:kern w:val="0"/>
                <w:sz w:val="18"/>
                <w:szCs w:val="18"/>
              </w:rPr>
            </w:pPr>
            <w:r>
              <w:rPr>
                <w:rFonts w:hint="eastAsia" w:ascii="宋体" w:hAnsi="宋体" w:eastAsia="宋体" w:cs="宋体"/>
                <w:kern w:val="0"/>
                <w:sz w:val="18"/>
                <w:szCs w:val="18"/>
              </w:rPr>
              <w:t>交通运输部海事局</w:t>
            </w:r>
          </w:p>
        </w:tc>
        <w:tc>
          <w:tcPr>
            <w:tcW w:w="5002" w:type="dxa"/>
            <w:tcBorders>
              <w:top w:val="nil"/>
              <w:left w:val="nil"/>
              <w:bottom w:val="single" w:color="auto" w:sz="4" w:space="0"/>
              <w:right w:val="single" w:color="auto" w:sz="4" w:space="0"/>
            </w:tcBorders>
            <w:shd w:val="clear" w:color="000000" w:fill="FFFFFF"/>
            <w:vAlign w:val="center"/>
          </w:tcPr>
          <w:p>
            <w:pPr>
              <w:widowControl/>
              <w:spacing w:line="250" w:lineRule="exact"/>
              <w:jc w:val="left"/>
              <w:rPr>
                <w:rFonts w:ascii="宋体" w:hAnsi="宋体" w:eastAsia="宋体" w:cs="宋体"/>
                <w:kern w:val="0"/>
                <w:sz w:val="18"/>
                <w:szCs w:val="18"/>
              </w:rPr>
            </w:pPr>
            <w:r>
              <w:rPr>
                <w:rFonts w:hint="eastAsia" w:ascii="宋体" w:hAnsi="宋体" w:eastAsia="宋体" w:cs="宋体"/>
                <w:kern w:val="0"/>
                <w:sz w:val="18"/>
                <w:szCs w:val="18"/>
              </w:rPr>
              <w:t>《船员条例》（国务院令第494号）</w:t>
            </w:r>
          </w:p>
          <w:p>
            <w:pPr>
              <w:widowControl/>
              <w:spacing w:line="250" w:lineRule="exact"/>
              <w:jc w:val="left"/>
              <w:rPr>
                <w:rFonts w:ascii="宋体" w:hAnsi="宋体" w:eastAsia="宋体" w:cs="宋体"/>
                <w:kern w:val="0"/>
                <w:sz w:val="18"/>
                <w:szCs w:val="18"/>
              </w:rPr>
            </w:pPr>
            <w:r>
              <w:rPr>
                <w:rFonts w:hint="eastAsia" w:ascii="宋体" w:hAnsi="宋体" w:eastAsia="宋体" w:cs="宋体"/>
                <w:kern w:val="0"/>
                <w:sz w:val="18"/>
                <w:szCs w:val="18"/>
              </w:rPr>
              <w:t>《船员培训管理规则》（交通运输部令第15号）</w:t>
            </w:r>
          </w:p>
        </w:tc>
        <w:tc>
          <w:tcPr>
            <w:tcW w:w="1261" w:type="dxa"/>
            <w:tcBorders>
              <w:top w:val="nil"/>
              <w:left w:val="nil"/>
              <w:bottom w:val="single" w:color="auto" w:sz="4" w:space="0"/>
              <w:right w:val="single" w:color="auto" w:sz="4" w:space="0"/>
            </w:tcBorders>
            <w:shd w:val="clear" w:color="000000" w:fill="FFFFFF"/>
            <w:vAlign w:val="center"/>
          </w:tcPr>
          <w:p>
            <w:pPr>
              <w:spacing w:line="250" w:lineRule="exact"/>
              <w:rPr>
                <w:sz w:val="18"/>
                <w:szCs w:val="18"/>
              </w:rPr>
            </w:pPr>
            <w:r>
              <w:rPr>
                <w:rFonts w:hint="eastAsia"/>
                <w:sz w:val="18"/>
                <w:szCs w:val="18"/>
              </w:rPr>
              <w:t>船员培训</w:t>
            </w:r>
          </w:p>
        </w:tc>
      </w:tr>
      <w:tr>
        <w:tblPrEx>
          <w:tblCellMar>
            <w:top w:w="0" w:type="dxa"/>
            <w:left w:w="108" w:type="dxa"/>
            <w:bottom w:w="0" w:type="dxa"/>
            <w:right w:w="108" w:type="dxa"/>
          </w:tblCellMar>
        </w:tblPrEx>
        <w:trPr>
          <w:cantSplit/>
          <w:trHeight w:val="757" w:hRule="atLeast"/>
          <w:jc w:val="center"/>
        </w:trPr>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kern w:val="0"/>
                <w:sz w:val="18"/>
                <w:szCs w:val="18"/>
              </w:rPr>
            </w:pPr>
            <w:r>
              <w:rPr>
                <w:rFonts w:hint="eastAsia" w:ascii="宋体" w:hAnsi="宋体" w:eastAsia="宋体" w:cs="宋体"/>
                <w:kern w:val="0"/>
                <w:sz w:val="18"/>
                <w:szCs w:val="18"/>
              </w:rPr>
              <w:t>76</w:t>
            </w:r>
          </w:p>
        </w:tc>
        <w:tc>
          <w:tcPr>
            <w:tcW w:w="1116" w:type="dxa"/>
            <w:tcBorders>
              <w:top w:val="single" w:color="auto" w:sz="4" w:space="0"/>
              <w:left w:val="nil"/>
              <w:bottom w:val="single" w:color="auto" w:sz="4" w:space="0"/>
              <w:right w:val="single" w:color="auto" w:sz="4" w:space="0"/>
            </w:tcBorders>
            <w:shd w:val="clear" w:color="000000" w:fill="FFFFFF"/>
            <w:vAlign w:val="center"/>
          </w:tcPr>
          <w:p>
            <w:pPr>
              <w:widowControl/>
              <w:spacing w:line="250" w:lineRule="exact"/>
              <w:jc w:val="left"/>
              <w:rPr>
                <w:rFonts w:ascii="宋体" w:hAnsi="宋体" w:eastAsia="宋体" w:cs="宋体"/>
                <w:kern w:val="0"/>
                <w:sz w:val="18"/>
                <w:szCs w:val="18"/>
              </w:rPr>
            </w:pPr>
            <w:r>
              <w:rPr>
                <w:rFonts w:hint="eastAsia" w:ascii="宋体" w:hAnsi="宋体" w:eastAsia="宋体" w:cs="宋体"/>
                <w:kern w:val="0"/>
                <w:sz w:val="18"/>
                <w:szCs w:val="18"/>
              </w:rPr>
              <w:t>从事海员外派机构资质审批</w:t>
            </w:r>
          </w:p>
        </w:tc>
        <w:tc>
          <w:tcPr>
            <w:tcW w:w="1673" w:type="dxa"/>
            <w:tcBorders>
              <w:top w:val="single" w:color="auto" w:sz="4" w:space="0"/>
              <w:left w:val="nil"/>
              <w:bottom w:val="single" w:color="auto" w:sz="4" w:space="0"/>
              <w:right w:val="single" w:color="auto" w:sz="4" w:space="0"/>
            </w:tcBorders>
            <w:shd w:val="clear" w:color="000000" w:fill="FFFFFF"/>
            <w:vAlign w:val="center"/>
          </w:tcPr>
          <w:p>
            <w:pPr>
              <w:widowControl/>
              <w:spacing w:line="250" w:lineRule="exact"/>
              <w:jc w:val="left"/>
              <w:rPr>
                <w:rFonts w:ascii="宋体" w:hAnsi="宋体" w:eastAsia="宋体" w:cs="宋体"/>
                <w:kern w:val="0"/>
                <w:sz w:val="18"/>
                <w:szCs w:val="18"/>
              </w:rPr>
            </w:pPr>
            <w:r>
              <w:rPr>
                <w:rFonts w:hint="eastAsia" w:ascii="宋体" w:hAnsi="宋体" w:eastAsia="宋体" w:cs="宋体"/>
                <w:kern w:val="0"/>
                <w:sz w:val="18"/>
                <w:szCs w:val="18"/>
              </w:rPr>
              <w:t>交通运输部海事局或辽宁海事局</w:t>
            </w:r>
          </w:p>
        </w:tc>
        <w:tc>
          <w:tcPr>
            <w:tcW w:w="5002" w:type="dxa"/>
            <w:tcBorders>
              <w:top w:val="single" w:color="auto" w:sz="4" w:space="0"/>
              <w:left w:val="nil"/>
              <w:bottom w:val="single" w:color="auto" w:sz="4" w:space="0"/>
              <w:right w:val="single" w:color="auto" w:sz="4" w:space="0"/>
            </w:tcBorders>
            <w:shd w:val="clear" w:color="000000" w:fill="FFFFFF"/>
            <w:vAlign w:val="center"/>
          </w:tcPr>
          <w:p>
            <w:pPr>
              <w:widowControl/>
              <w:spacing w:line="250" w:lineRule="exact"/>
              <w:jc w:val="left"/>
              <w:rPr>
                <w:rFonts w:ascii="宋体" w:hAnsi="宋体" w:eastAsia="宋体" w:cs="宋体"/>
                <w:kern w:val="0"/>
                <w:sz w:val="18"/>
                <w:szCs w:val="18"/>
              </w:rPr>
            </w:pPr>
            <w:r>
              <w:rPr>
                <w:rFonts w:hint="eastAsia" w:ascii="宋体" w:hAnsi="宋体" w:eastAsia="宋体" w:cs="宋体"/>
                <w:kern w:val="0"/>
                <w:sz w:val="18"/>
                <w:szCs w:val="18"/>
              </w:rPr>
              <w:t>《船员条例》（国务院令第494号）</w:t>
            </w:r>
          </w:p>
          <w:p>
            <w:pPr>
              <w:widowControl/>
              <w:spacing w:line="250" w:lineRule="exact"/>
              <w:jc w:val="left"/>
              <w:rPr>
                <w:rFonts w:ascii="宋体" w:hAnsi="宋体" w:eastAsia="宋体" w:cs="宋体"/>
                <w:kern w:val="0"/>
                <w:sz w:val="18"/>
                <w:szCs w:val="18"/>
              </w:rPr>
            </w:pPr>
            <w:r>
              <w:rPr>
                <w:rFonts w:hint="eastAsia" w:ascii="宋体" w:hAnsi="宋体" w:eastAsia="宋体" w:cs="宋体"/>
                <w:kern w:val="0"/>
                <w:sz w:val="18"/>
                <w:szCs w:val="18"/>
              </w:rPr>
              <w:t>《海员外派管理规定》（交通运输部令第3号）</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250" w:lineRule="exact"/>
              <w:rPr>
                <w:rFonts w:ascii="宋体" w:hAnsi="宋体" w:eastAsia="宋体" w:cs="宋体"/>
                <w:sz w:val="18"/>
                <w:szCs w:val="18"/>
              </w:rPr>
            </w:pPr>
            <w:r>
              <w:rPr>
                <w:rFonts w:hint="eastAsia"/>
                <w:sz w:val="18"/>
                <w:szCs w:val="18"/>
              </w:rPr>
              <w:t>海员外派</w:t>
            </w:r>
          </w:p>
        </w:tc>
      </w:tr>
      <w:tr>
        <w:tblPrEx>
          <w:tblCellMar>
            <w:top w:w="0" w:type="dxa"/>
            <w:left w:w="108" w:type="dxa"/>
            <w:bottom w:w="0" w:type="dxa"/>
            <w:right w:w="108" w:type="dxa"/>
          </w:tblCellMar>
        </w:tblPrEx>
        <w:trPr>
          <w:cantSplit/>
          <w:trHeight w:val="669" w:hRule="atLeast"/>
          <w:jc w:val="center"/>
        </w:trPr>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kern w:val="0"/>
                <w:sz w:val="18"/>
                <w:szCs w:val="18"/>
              </w:rPr>
            </w:pPr>
            <w:r>
              <w:rPr>
                <w:rFonts w:hint="eastAsia" w:ascii="宋体" w:hAnsi="宋体" w:eastAsia="宋体" w:cs="宋体"/>
                <w:kern w:val="0"/>
                <w:sz w:val="18"/>
                <w:szCs w:val="18"/>
              </w:rPr>
              <w:t>77</w:t>
            </w:r>
          </w:p>
        </w:tc>
        <w:tc>
          <w:tcPr>
            <w:tcW w:w="1116" w:type="dxa"/>
            <w:tcBorders>
              <w:top w:val="single" w:color="auto" w:sz="4" w:space="0"/>
              <w:left w:val="nil"/>
              <w:bottom w:val="single" w:color="auto" w:sz="4" w:space="0"/>
              <w:right w:val="single" w:color="auto" w:sz="4" w:space="0"/>
            </w:tcBorders>
            <w:shd w:val="clear" w:color="000000" w:fill="FFFFFF"/>
            <w:vAlign w:val="center"/>
          </w:tcPr>
          <w:p>
            <w:pPr>
              <w:widowControl/>
              <w:spacing w:line="250" w:lineRule="exact"/>
              <w:jc w:val="left"/>
              <w:rPr>
                <w:rFonts w:ascii="宋体" w:hAnsi="宋体" w:eastAsia="宋体" w:cs="宋体"/>
                <w:kern w:val="0"/>
                <w:sz w:val="18"/>
                <w:szCs w:val="18"/>
              </w:rPr>
            </w:pPr>
            <w:r>
              <w:rPr>
                <w:rFonts w:hint="eastAsia" w:ascii="宋体" w:hAnsi="宋体" w:eastAsia="宋体" w:cs="宋体"/>
                <w:kern w:val="0"/>
                <w:sz w:val="18"/>
                <w:szCs w:val="18"/>
              </w:rPr>
              <w:t>经营邮政通信业务审批</w:t>
            </w:r>
          </w:p>
        </w:tc>
        <w:tc>
          <w:tcPr>
            <w:tcW w:w="1673" w:type="dxa"/>
            <w:tcBorders>
              <w:top w:val="single" w:color="auto" w:sz="4" w:space="0"/>
              <w:left w:val="nil"/>
              <w:bottom w:val="single" w:color="auto" w:sz="4" w:space="0"/>
              <w:right w:val="single" w:color="auto" w:sz="4" w:space="0"/>
            </w:tcBorders>
            <w:shd w:val="clear" w:color="000000" w:fill="FFFFFF"/>
            <w:vAlign w:val="center"/>
          </w:tcPr>
          <w:p>
            <w:pPr>
              <w:widowControl/>
              <w:spacing w:line="250" w:lineRule="exact"/>
              <w:jc w:val="left"/>
              <w:rPr>
                <w:rFonts w:ascii="宋体" w:hAnsi="宋体" w:eastAsia="宋体" w:cs="宋体"/>
                <w:kern w:val="0"/>
                <w:sz w:val="18"/>
                <w:szCs w:val="18"/>
              </w:rPr>
            </w:pPr>
            <w:r>
              <w:rPr>
                <w:rFonts w:hint="eastAsia" w:ascii="宋体" w:hAnsi="宋体" w:eastAsia="宋体" w:cs="宋体"/>
                <w:kern w:val="0"/>
                <w:sz w:val="18"/>
                <w:szCs w:val="18"/>
              </w:rPr>
              <w:t>国家邮政局或省邮政管理局</w:t>
            </w:r>
          </w:p>
        </w:tc>
        <w:tc>
          <w:tcPr>
            <w:tcW w:w="5002" w:type="dxa"/>
            <w:tcBorders>
              <w:top w:val="single" w:color="auto" w:sz="4" w:space="0"/>
              <w:left w:val="nil"/>
              <w:bottom w:val="single" w:color="auto" w:sz="4" w:space="0"/>
              <w:right w:val="single" w:color="auto" w:sz="4" w:space="0"/>
            </w:tcBorders>
            <w:shd w:val="clear" w:color="000000" w:fill="FFFFFF"/>
            <w:vAlign w:val="center"/>
          </w:tcPr>
          <w:p>
            <w:pPr>
              <w:widowControl/>
              <w:spacing w:line="250" w:lineRule="exact"/>
              <w:jc w:val="left"/>
              <w:rPr>
                <w:rFonts w:ascii="宋体" w:hAnsi="宋体" w:eastAsia="宋体" w:cs="宋体"/>
                <w:kern w:val="0"/>
                <w:sz w:val="18"/>
                <w:szCs w:val="18"/>
              </w:rPr>
            </w:pPr>
            <w:r>
              <w:rPr>
                <w:rFonts w:hint="eastAsia" w:ascii="宋体" w:hAnsi="宋体" w:eastAsia="宋体" w:cs="宋体"/>
                <w:kern w:val="0"/>
                <w:sz w:val="18"/>
                <w:szCs w:val="18"/>
              </w:rPr>
              <w:t>《国务院对确需保留的行政审批项目设定行政许可的决定》（国务院令第412号）</w:t>
            </w:r>
          </w:p>
          <w:p>
            <w:pPr>
              <w:widowControl/>
              <w:spacing w:line="250" w:lineRule="exact"/>
              <w:jc w:val="left"/>
              <w:rPr>
                <w:rFonts w:ascii="宋体" w:hAnsi="宋体" w:eastAsia="宋体" w:cs="宋体"/>
                <w:kern w:val="0"/>
                <w:sz w:val="18"/>
                <w:szCs w:val="18"/>
              </w:rPr>
            </w:pPr>
            <w:r>
              <w:rPr>
                <w:rFonts w:hint="eastAsia" w:ascii="宋体" w:hAnsi="宋体" w:eastAsia="宋体" w:cs="宋体"/>
                <w:kern w:val="0"/>
                <w:sz w:val="18"/>
                <w:szCs w:val="18"/>
              </w:rPr>
              <w:t>《国务院关于取消和调整一批行政审批项目等事项的决定》（国发〔2014〕50号）</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250" w:lineRule="exact"/>
              <w:rPr>
                <w:rFonts w:ascii="宋体" w:hAnsi="宋体" w:eastAsia="宋体" w:cs="宋体"/>
                <w:sz w:val="18"/>
                <w:szCs w:val="18"/>
              </w:rPr>
            </w:pPr>
            <w:r>
              <w:rPr>
                <w:rFonts w:hint="eastAsia"/>
                <w:sz w:val="18"/>
                <w:szCs w:val="18"/>
              </w:rPr>
              <w:t>邮政、通信</w:t>
            </w:r>
          </w:p>
        </w:tc>
      </w:tr>
      <w:tr>
        <w:tblPrEx>
          <w:tblCellMar>
            <w:top w:w="0" w:type="dxa"/>
            <w:left w:w="108" w:type="dxa"/>
            <w:bottom w:w="0" w:type="dxa"/>
            <w:right w:w="108" w:type="dxa"/>
          </w:tblCellMar>
        </w:tblPrEx>
        <w:trPr>
          <w:cantSplit/>
          <w:trHeight w:val="503" w:hRule="atLeast"/>
          <w:jc w:val="center"/>
        </w:trPr>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b/>
                <w:bCs/>
                <w:kern w:val="0"/>
                <w:sz w:val="18"/>
                <w:szCs w:val="18"/>
              </w:rPr>
            </w:pPr>
            <w:r>
              <w:rPr>
                <w:rFonts w:hint="eastAsia" w:ascii="宋体" w:hAnsi="宋体" w:eastAsia="宋体" w:cs="宋体"/>
                <w:b/>
                <w:bCs/>
                <w:kern w:val="0"/>
                <w:sz w:val="18"/>
                <w:szCs w:val="18"/>
              </w:rPr>
              <w:t>序号</w:t>
            </w:r>
          </w:p>
        </w:tc>
        <w:tc>
          <w:tcPr>
            <w:tcW w:w="1116"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b/>
                <w:bCs/>
                <w:kern w:val="0"/>
                <w:sz w:val="18"/>
                <w:szCs w:val="18"/>
              </w:rPr>
            </w:pPr>
            <w:r>
              <w:rPr>
                <w:rFonts w:hint="eastAsia" w:ascii="宋体" w:hAnsi="宋体" w:eastAsia="宋体" w:cs="宋体"/>
                <w:b/>
                <w:bCs/>
                <w:kern w:val="0"/>
                <w:sz w:val="18"/>
                <w:szCs w:val="18"/>
              </w:rPr>
              <w:t>项目名称</w:t>
            </w:r>
          </w:p>
        </w:tc>
        <w:tc>
          <w:tcPr>
            <w:tcW w:w="1673"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b/>
                <w:bCs/>
                <w:kern w:val="0"/>
                <w:sz w:val="18"/>
                <w:szCs w:val="18"/>
              </w:rPr>
            </w:pPr>
            <w:r>
              <w:rPr>
                <w:rFonts w:hint="eastAsia" w:ascii="宋体" w:hAnsi="宋体" w:eastAsia="宋体" w:cs="宋体"/>
                <w:b/>
                <w:bCs/>
                <w:kern w:val="0"/>
                <w:sz w:val="18"/>
                <w:szCs w:val="18"/>
              </w:rPr>
              <w:t>实施机关</w:t>
            </w:r>
          </w:p>
        </w:tc>
        <w:tc>
          <w:tcPr>
            <w:tcW w:w="5002"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b/>
                <w:bCs/>
                <w:kern w:val="0"/>
                <w:sz w:val="18"/>
                <w:szCs w:val="18"/>
              </w:rPr>
            </w:pPr>
            <w:r>
              <w:rPr>
                <w:rFonts w:hint="eastAsia" w:ascii="宋体" w:hAnsi="宋体" w:eastAsia="宋体" w:cs="宋体"/>
                <w:b/>
                <w:bCs/>
                <w:kern w:val="0"/>
                <w:sz w:val="18"/>
                <w:szCs w:val="18"/>
              </w:rPr>
              <w:t xml:space="preserve">设定依据                                                                                         </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180" w:lineRule="exact"/>
              <w:rPr>
                <w:rFonts w:ascii="宋体" w:hAnsi="宋体" w:eastAsia="宋体" w:cs="宋体"/>
                <w:sz w:val="18"/>
                <w:szCs w:val="18"/>
              </w:rPr>
            </w:pPr>
            <w:r>
              <w:rPr>
                <w:rFonts w:hint="eastAsia" w:ascii="宋体" w:hAnsi="宋体" w:eastAsia="宋体" w:cs="宋体"/>
                <w:b/>
                <w:bCs/>
                <w:kern w:val="0"/>
                <w:sz w:val="18"/>
                <w:szCs w:val="18"/>
              </w:rPr>
              <w:t>检索关键词</w:t>
            </w:r>
          </w:p>
        </w:tc>
      </w:tr>
      <w:tr>
        <w:tblPrEx>
          <w:tblCellMar>
            <w:top w:w="0" w:type="dxa"/>
            <w:left w:w="108" w:type="dxa"/>
            <w:bottom w:w="0" w:type="dxa"/>
            <w:right w:w="108" w:type="dxa"/>
          </w:tblCellMar>
        </w:tblPrEx>
        <w:trPr>
          <w:cantSplit/>
          <w:trHeight w:val="776" w:hRule="atLeast"/>
          <w:jc w:val="center"/>
        </w:trPr>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bCs/>
                <w:kern w:val="0"/>
                <w:sz w:val="18"/>
                <w:szCs w:val="18"/>
              </w:rPr>
            </w:pPr>
            <w:r>
              <w:rPr>
                <w:rFonts w:hint="eastAsia" w:ascii="宋体" w:hAnsi="宋体" w:eastAsia="宋体" w:cs="宋体"/>
                <w:kern w:val="0"/>
                <w:sz w:val="18"/>
                <w:szCs w:val="18"/>
              </w:rPr>
              <w:t>78</w:t>
            </w:r>
          </w:p>
        </w:tc>
        <w:tc>
          <w:tcPr>
            <w:tcW w:w="1116"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农作物种子、果树种苗生产经营许可</w:t>
            </w:r>
          </w:p>
        </w:tc>
        <w:tc>
          <w:tcPr>
            <w:tcW w:w="1673"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省农业农村厅</w:t>
            </w:r>
          </w:p>
        </w:tc>
        <w:tc>
          <w:tcPr>
            <w:tcW w:w="5002"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《种子法》</w:t>
            </w:r>
          </w:p>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《辽宁省果树管理办法》（辽政办发〔1993〕56号）</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180" w:lineRule="exact"/>
              <w:rPr>
                <w:rFonts w:ascii="宋体" w:hAnsi="宋体" w:eastAsia="宋体" w:cs="宋体"/>
                <w:sz w:val="18"/>
                <w:szCs w:val="18"/>
              </w:rPr>
            </w:pPr>
            <w:r>
              <w:rPr>
                <w:rFonts w:hint="eastAsia"/>
                <w:sz w:val="18"/>
                <w:szCs w:val="18"/>
              </w:rPr>
              <w:t>农作物种子、食用菌菌种生产、果树、种苗</w:t>
            </w:r>
          </w:p>
        </w:tc>
      </w:tr>
      <w:tr>
        <w:tblPrEx>
          <w:tblCellMar>
            <w:top w:w="0" w:type="dxa"/>
            <w:left w:w="108" w:type="dxa"/>
            <w:bottom w:w="0" w:type="dxa"/>
            <w:right w:w="108" w:type="dxa"/>
          </w:tblCellMar>
        </w:tblPrEx>
        <w:trPr>
          <w:cantSplit/>
          <w:trHeight w:val="702" w:hRule="atLeast"/>
          <w:jc w:val="center"/>
        </w:trPr>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bCs/>
                <w:kern w:val="0"/>
                <w:sz w:val="18"/>
                <w:szCs w:val="18"/>
              </w:rPr>
            </w:pPr>
            <w:r>
              <w:rPr>
                <w:rFonts w:hint="eastAsia" w:ascii="宋体" w:hAnsi="宋体" w:eastAsia="宋体" w:cs="宋体"/>
                <w:bCs/>
                <w:kern w:val="0"/>
                <w:sz w:val="18"/>
                <w:szCs w:val="18"/>
              </w:rPr>
              <w:t>79</w:t>
            </w:r>
          </w:p>
        </w:tc>
        <w:tc>
          <w:tcPr>
            <w:tcW w:w="1116"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转基因农作物种子生产许可证核发</w:t>
            </w:r>
          </w:p>
        </w:tc>
        <w:tc>
          <w:tcPr>
            <w:tcW w:w="1673"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农业农村部</w:t>
            </w:r>
          </w:p>
        </w:tc>
        <w:tc>
          <w:tcPr>
            <w:tcW w:w="5002"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《农业转基因生物安全管理条例》(国务院令第304号）</w:t>
            </w:r>
          </w:p>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《国务院关于取消和调整一批行政审批项目等事项的决定》（国发〔2014〕50号）</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180" w:lineRule="exact"/>
              <w:rPr>
                <w:rFonts w:ascii="宋体" w:hAnsi="宋体" w:eastAsia="宋体" w:cs="宋体"/>
                <w:sz w:val="18"/>
                <w:szCs w:val="18"/>
              </w:rPr>
            </w:pPr>
            <w:r>
              <w:rPr>
                <w:rFonts w:hint="eastAsia"/>
                <w:sz w:val="18"/>
                <w:szCs w:val="18"/>
              </w:rPr>
              <w:t>转基因农作物种子</w:t>
            </w:r>
          </w:p>
        </w:tc>
      </w:tr>
      <w:tr>
        <w:tblPrEx>
          <w:tblCellMar>
            <w:top w:w="0" w:type="dxa"/>
            <w:left w:w="108" w:type="dxa"/>
            <w:bottom w:w="0" w:type="dxa"/>
            <w:right w:w="108" w:type="dxa"/>
          </w:tblCellMar>
        </w:tblPrEx>
        <w:trPr>
          <w:cantSplit/>
          <w:trHeight w:val="786" w:hRule="atLeast"/>
          <w:jc w:val="center"/>
        </w:trPr>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kern w:val="0"/>
                <w:sz w:val="18"/>
                <w:szCs w:val="18"/>
              </w:rPr>
            </w:pPr>
            <w:r>
              <w:rPr>
                <w:rFonts w:hint="eastAsia" w:ascii="宋体" w:hAnsi="宋体" w:eastAsia="宋体" w:cs="宋体"/>
                <w:bCs/>
                <w:kern w:val="0"/>
                <w:sz w:val="18"/>
                <w:szCs w:val="18"/>
              </w:rPr>
              <w:t>80</w:t>
            </w:r>
          </w:p>
        </w:tc>
        <w:tc>
          <w:tcPr>
            <w:tcW w:w="1116"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农产品质量安全检测机构资格认定</w:t>
            </w:r>
          </w:p>
        </w:tc>
        <w:tc>
          <w:tcPr>
            <w:tcW w:w="1673"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省农业农村厅</w:t>
            </w:r>
          </w:p>
        </w:tc>
        <w:tc>
          <w:tcPr>
            <w:tcW w:w="5002"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《农产品质量安全法》</w:t>
            </w:r>
          </w:p>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《农产品质量安全检测机构考核办法》（农业部令第7号）</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180" w:lineRule="exact"/>
              <w:rPr>
                <w:rFonts w:ascii="宋体" w:hAnsi="宋体" w:eastAsia="宋体" w:cs="宋体"/>
                <w:sz w:val="18"/>
                <w:szCs w:val="18"/>
              </w:rPr>
            </w:pPr>
            <w:r>
              <w:rPr>
                <w:rFonts w:hint="eastAsia"/>
                <w:sz w:val="18"/>
                <w:szCs w:val="18"/>
              </w:rPr>
              <w:t>农产品质量安全检测</w:t>
            </w:r>
          </w:p>
        </w:tc>
      </w:tr>
      <w:tr>
        <w:tblPrEx>
          <w:tblCellMar>
            <w:top w:w="0" w:type="dxa"/>
            <w:left w:w="108" w:type="dxa"/>
            <w:bottom w:w="0" w:type="dxa"/>
            <w:right w:w="108" w:type="dxa"/>
          </w:tblCellMar>
        </w:tblPrEx>
        <w:trPr>
          <w:cantSplit/>
          <w:trHeight w:val="626" w:hRule="atLeast"/>
          <w:jc w:val="center"/>
        </w:trPr>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kern w:val="0"/>
                <w:sz w:val="18"/>
                <w:szCs w:val="18"/>
              </w:rPr>
            </w:pPr>
            <w:r>
              <w:rPr>
                <w:rFonts w:hint="eastAsia" w:ascii="宋体" w:hAnsi="宋体" w:eastAsia="宋体" w:cs="宋体"/>
                <w:kern w:val="0"/>
                <w:sz w:val="18"/>
                <w:szCs w:val="18"/>
              </w:rPr>
              <w:t>81</w:t>
            </w:r>
          </w:p>
        </w:tc>
        <w:tc>
          <w:tcPr>
            <w:tcW w:w="1116"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采集、出售、收购国家二级保护野生植物审批</w:t>
            </w:r>
          </w:p>
        </w:tc>
        <w:tc>
          <w:tcPr>
            <w:tcW w:w="1673"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省农业部门、林业部门，设区市林业部门</w:t>
            </w:r>
          </w:p>
        </w:tc>
        <w:tc>
          <w:tcPr>
            <w:tcW w:w="5002"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《森林法》</w:t>
            </w:r>
          </w:p>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《野生植物保护条例》（国务院令第204号）</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180" w:lineRule="exact"/>
              <w:rPr>
                <w:rFonts w:ascii="宋体" w:hAnsi="宋体" w:eastAsia="宋体" w:cs="宋体"/>
                <w:sz w:val="18"/>
                <w:szCs w:val="18"/>
              </w:rPr>
            </w:pPr>
            <w:r>
              <w:rPr>
                <w:rFonts w:hint="eastAsia"/>
                <w:sz w:val="18"/>
                <w:szCs w:val="18"/>
              </w:rPr>
              <w:t>野生植物</w:t>
            </w:r>
          </w:p>
        </w:tc>
      </w:tr>
      <w:tr>
        <w:tblPrEx>
          <w:tblCellMar>
            <w:top w:w="0" w:type="dxa"/>
            <w:left w:w="108" w:type="dxa"/>
            <w:bottom w:w="0" w:type="dxa"/>
            <w:right w:w="108" w:type="dxa"/>
          </w:tblCellMar>
        </w:tblPrEx>
        <w:trPr>
          <w:cantSplit/>
          <w:trHeight w:val="615" w:hRule="atLeast"/>
          <w:jc w:val="center"/>
        </w:trPr>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bCs/>
                <w:kern w:val="0"/>
                <w:sz w:val="18"/>
                <w:szCs w:val="18"/>
              </w:rPr>
            </w:pPr>
            <w:r>
              <w:rPr>
                <w:rFonts w:hint="eastAsia" w:ascii="宋体" w:hAnsi="宋体" w:eastAsia="宋体" w:cs="宋体"/>
                <w:kern w:val="0"/>
                <w:sz w:val="18"/>
                <w:szCs w:val="18"/>
              </w:rPr>
              <w:t>82</w:t>
            </w:r>
          </w:p>
        </w:tc>
        <w:tc>
          <w:tcPr>
            <w:tcW w:w="1116"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蚕种生产经营许可</w:t>
            </w:r>
          </w:p>
        </w:tc>
        <w:tc>
          <w:tcPr>
            <w:tcW w:w="1673"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设区市农业行政主管部门</w:t>
            </w:r>
          </w:p>
        </w:tc>
        <w:tc>
          <w:tcPr>
            <w:tcW w:w="5002"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《中华人民共和国畜牧法》</w:t>
            </w:r>
          </w:p>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《蚕种管理办法》（农业部令第68号）</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180" w:lineRule="exact"/>
              <w:rPr>
                <w:rFonts w:ascii="宋体" w:hAnsi="宋体" w:eastAsia="宋体" w:cs="宋体"/>
                <w:sz w:val="18"/>
                <w:szCs w:val="18"/>
              </w:rPr>
            </w:pPr>
            <w:r>
              <w:rPr>
                <w:rFonts w:hint="eastAsia"/>
                <w:sz w:val="18"/>
                <w:szCs w:val="18"/>
              </w:rPr>
              <w:t>蚕种</w:t>
            </w:r>
          </w:p>
        </w:tc>
      </w:tr>
      <w:tr>
        <w:tblPrEx>
          <w:tblCellMar>
            <w:top w:w="0" w:type="dxa"/>
            <w:left w:w="108" w:type="dxa"/>
            <w:bottom w:w="0" w:type="dxa"/>
            <w:right w:w="108" w:type="dxa"/>
          </w:tblCellMar>
        </w:tblPrEx>
        <w:trPr>
          <w:cantSplit/>
          <w:trHeight w:val="832" w:hRule="atLeast"/>
          <w:jc w:val="center"/>
        </w:trPr>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kern w:val="0"/>
                <w:sz w:val="18"/>
                <w:szCs w:val="18"/>
              </w:rPr>
            </w:pPr>
            <w:r>
              <w:rPr>
                <w:rFonts w:hint="eastAsia" w:ascii="宋体" w:hAnsi="宋体" w:eastAsia="宋体" w:cs="宋体"/>
                <w:kern w:val="0"/>
                <w:sz w:val="18"/>
                <w:szCs w:val="18"/>
              </w:rPr>
              <w:t>83</w:t>
            </w:r>
          </w:p>
        </w:tc>
        <w:tc>
          <w:tcPr>
            <w:tcW w:w="1116"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拖拉机驾驶培训资格认定</w:t>
            </w:r>
          </w:p>
        </w:tc>
        <w:tc>
          <w:tcPr>
            <w:tcW w:w="1673"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设区市农业部门</w:t>
            </w:r>
          </w:p>
        </w:tc>
        <w:tc>
          <w:tcPr>
            <w:tcW w:w="5002"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《道路交通安全法》</w:t>
            </w:r>
          </w:p>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《拖拉机驾驶培训管理办法》（农业部令第41号）</w:t>
            </w:r>
          </w:p>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《国务院关于取消和调整一批行政审批项目等事项的决定》（国发〔2014〕27号）</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180" w:lineRule="exact"/>
              <w:rPr>
                <w:rFonts w:ascii="宋体" w:hAnsi="宋体" w:eastAsia="宋体" w:cs="宋体"/>
                <w:sz w:val="18"/>
                <w:szCs w:val="18"/>
              </w:rPr>
            </w:pPr>
            <w:r>
              <w:rPr>
                <w:rFonts w:hint="eastAsia"/>
                <w:sz w:val="18"/>
                <w:szCs w:val="18"/>
              </w:rPr>
              <w:t>拖拉机驾驶培训</w:t>
            </w:r>
          </w:p>
        </w:tc>
      </w:tr>
      <w:tr>
        <w:tblPrEx>
          <w:tblCellMar>
            <w:top w:w="0" w:type="dxa"/>
            <w:left w:w="108" w:type="dxa"/>
            <w:bottom w:w="0" w:type="dxa"/>
            <w:right w:w="108" w:type="dxa"/>
          </w:tblCellMar>
        </w:tblPrEx>
        <w:trPr>
          <w:cantSplit/>
          <w:trHeight w:val="1364" w:hRule="atLeast"/>
          <w:jc w:val="center"/>
        </w:trPr>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kern w:val="0"/>
                <w:sz w:val="18"/>
                <w:szCs w:val="18"/>
              </w:rPr>
            </w:pPr>
            <w:r>
              <w:rPr>
                <w:rFonts w:hint="eastAsia" w:ascii="宋体" w:hAnsi="宋体" w:eastAsia="宋体" w:cs="宋体"/>
                <w:kern w:val="0"/>
                <w:sz w:val="18"/>
                <w:szCs w:val="18"/>
              </w:rPr>
              <w:t>84</w:t>
            </w:r>
          </w:p>
        </w:tc>
        <w:tc>
          <w:tcPr>
            <w:tcW w:w="1116"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从事饲料、饲料添加剂、添加剂预混合饲料生产企业审批</w:t>
            </w:r>
          </w:p>
        </w:tc>
        <w:tc>
          <w:tcPr>
            <w:tcW w:w="1673"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省、设区市农业行政主管部门</w:t>
            </w:r>
          </w:p>
        </w:tc>
        <w:tc>
          <w:tcPr>
            <w:tcW w:w="5002"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《饲料和饲料添加剂管理条例》（国务院令第609号）</w:t>
            </w:r>
          </w:p>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《饲料和饲料添加剂生产许可管理办法》（农业部令第5号）</w:t>
            </w:r>
          </w:p>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《国务院关于取消和调整一批行政审批项目等事项的决定》（国发〔2014〕50号）</w:t>
            </w:r>
          </w:p>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《国务院关于修改部分行政法规的决定》（国务院令第666号）</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180" w:lineRule="exact"/>
              <w:rPr>
                <w:rFonts w:ascii="宋体" w:hAnsi="宋体" w:eastAsia="宋体" w:cs="宋体"/>
                <w:sz w:val="18"/>
                <w:szCs w:val="18"/>
              </w:rPr>
            </w:pPr>
            <w:r>
              <w:rPr>
                <w:rFonts w:hint="eastAsia"/>
                <w:sz w:val="18"/>
                <w:szCs w:val="18"/>
              </w:rPr>
              <w:t>饲料生产</w:t>
            </w:r>
          </w:p>
        </w:tc>
      </w:tr>
      <w:tr>
        <w:tblPrEx>
          <w:tblCellMar>
            <w:top w:w="0" w:type="dxa"/>
            <w:left w:w="108" w:type="dxa"/>
            <w:bottom w:w="0" w:type="dxa"/>
            <w:right w:w="108" w:type="dxa"/>
          </w:tblCellMar>
        </w:tblPrEx>
        <w:trPr>
          <w:cantSplit/>
          <w:trHeight w:val="1114" w:hRule="atLeast"/>
          <w:jc w:val="center"/>
        </w:trPr>
        <w:tc>
          <w:tcPr>
            <w:tcW w:w="756" w:type="dxa"/>
            <w:tcBorders>
              <w:top w:val="nil"/>
              <w:left w:val="single" w:color="auto" w:sz="4" w:space="0"/>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kern w:val="0"/>
                <w:sz w:val="18"/>
                <w:szCs w:val="18"/>
              </w:rPr>
            </w:pPr>
            <w:r>
              <w:rPr>
                <w:rFonts w:hint="eastAsia" w:ascii="宋体" w:hAnsi="宋体" w:eastAsia="宋体" w:cs="宋体"/>
                <w:kern w:val="0"/>
                <w:sz w:val="18"/>
                <w:szCs w:val="18"/>
              </w:rPr>
              <w:t>85</w:t>
            </w:r>
          </w:p>
        </w:tc>
        <w:tc>
          <w:tcPr>
            <w:tcW w:w="1116" w:type="dxa"/>
            <w:tcBorders>
              <w:top w:val="nil"/>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生猪定点屠宰证书核发</w:t>
            </w:r>
          </w:p>
        </w:tc>
        <w:tc>
          <w:tcPr>
            <w:tcW w:w="1673" w:type="dxa"/>
            <w:tcBorders>
              <w:top w:val="nil"/>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设区市人民政府（农业行政主管部门会同生态环境部门等）</w:t>
            </w:r>
          </w:p>
        </w:tc>
        <w:tc>
          <w:tcPr>
            <w:tcW w:w="5002" w:type="dxa"/>
            <w:tcBorders>
              <w:top w:val="nil"/>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《生猪屠宰管理条例》（国务院令第525号）</w:t>
            </w:r>
          </w:p>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《国务院关于取消和调整一批行政审批项目等事项的决定》（国发〔2014〕50号）</w:t>
            </w:r>
          </w:p>
        </w:tc>
        <w:tc>
          <w:tcPr>
            <w:tcW w:w="1261" w:type="dxa"/>
            <w:tcBorders>
              <w:top w:val="nil"/>
              <w:left w:val="nil"/>
              <w:bottom w:val="single" w:color="auto" w:sz="4" w:space="0"/>
              <w:right w:val="single" w:color="auto" w:sz="4" w:space="0"/>
            </w:tcBorders>
            <w:shd w:val="clear" w:color="000000" w:fill="FFFFFF"/>
            <w:vAlign w:val="center"/>
          </w:tcPr>
          <w:p>
            <w:pPr>
              <w:spacing w:line="180" w:lineRule="exact"/>
              <w:rPr>
                <w:rFonts w:ascii="宋体" w:hAnsi="宋体" w:eastAsia="宋体" w:cs="宋体"/>
                <w:sz w:val="18"/>
                <w:szCs w:val="18"/>
              </w:rPr>
            </w:pPr>
            <w:r>
              <w:rPr>
                <w:rFonts w:hint="eastAsia"/>
                <w:sz w:val="18"/>
                <w:szCs w:val="18"/>
              </w:rPr>
              <w:t>生猪屠宰</w:t>
            </w:r>
          </w:p>
        </w:tc>
      </w:tr>
      <w:tr>
        <w:tblPrEx>
          <w:tblCellMar>
            <w:top w:w="0" w:type="dxa"/>
            <w:left w:w="108" w:type="dxa"/>
            <w:bottom w:w="0" w:type="dxa"/>
            <w:right w:w="108" w:type="dxa"/>
          </w:tblCellMar>
        </w:tblPrEx>
        <w:trPr>
          <w:cantSplit/>
          <w:trHeight w:val="748" w:hRule="atLeast"/>
          <w:jc w:val="center"/>
        </w:trPr>
        <w:tc>
          <w:tcPr>
            <w:tcW w:w="756" w:type="dxa"/>
            <w:tcBorders>
              <w:top w:val="nil"/>
              <w:left w:val="single" w:color="auto" w:sz="4" w:space="0"/>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kern w:val="0"/>
                <w:sz w:val="18"/>
                <w:szCs w:val="18"/>
              </w:rPr>
            </w:pPr>
            <w:r>
              <w:rPr>
                <w:rFonts w:hint="eastAsia" w:ascii="宋体" w:hAnsi="宋体" w:eastAsia="宋体" w:cs="宋体"/>
                <w:kern w:val="0"/>
                <w:sz w:val="18"/>
                <w:szCs w:val="18"/>
              </w:rPr>
              <w:t>86</w:t>
            </w:r>
          </w:p>
        </w:tc>
        <w:tc>
          <w:tcPr>
            <w:tcW w:w="1116" w:type="dxa"/>
            <w:tcBorders>
              <w:top w:val="nil"/>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畜禽定点屠宰证书核发</w:t>
            </w:r>
          </w:p>
        </w:tc>
        <w:tc>
          <w:tcPr>
            <w:tcW w:w="1673" w:type="dxa"/>
            <w:tcBorders>
              <w:top w:val="nil"/>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设区市人民政府（农业行政主管部门会同生态环境部门等）</w:t>
            </w:r>
          </w:p>
        </w:tc>
        <w:tc>
          <w:tcPr>
            <w:tcW w:w="5002" w:type="dxa"/>
            <w:tcBorders>
              <w:top w:val="nil"/>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《辽宁省畜禽屠宰管理条例》</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180" w:lineRule="exact"/>
              <w:rPr>
                <w:rFonts w:ascii="宋体" w:hAnsi="宋体" w:eastAsia="宋体" w:cs="宋体"/>
                <w:sz w:val="18"/>
                <w:szCs w:val="18"/>
              </w:rPr>
            </w:pPr>
            <w:r>
              <w:rPr>
                <w:rFonts w:hint="eastAsia"/>
                <w:sz w:val="18"/>
                <w:szCs w:val="18"/>
              </w:rPr>
              <w:t>牛、羊、鸡屠宰</w:t>
            </w:r>
          </w:p>
        </w:tc>
      </w:tr>
      <w:tr>
        <w:tblPrEx>
          <w:tblCellMar>
            <w:top w:w="0" w:type="dxa"/>
            <w:left w:w="108" w:type="dxa"/>
            <w:bottom w:w="0" w:type="dxa"/>
            <w:right w:w="108" w:type="dxa"/>
          </w:tblCellMar>
        </w:tblPrEx>
        <w:trPr>
          <w:cantSplit/>
          <w:trHeight w:val="920" w:hRule="atLeast"/>
          <w:jc w:val="center"/>
        </w:trPr>
        <w:tc>
          <w:tcPr>
            <w:tcW w:w="756" w:type="dxa"/>
            <w:tcBorders>
              <w:top w:val="nil"/>
              <w:left w:val="single" w:color="auto" w:sz="4" w:space="0"/>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bCs/>
                <w:kern w:val="0"/>
                <w:sz w:val="18"/>
                <w:szCs w:val="18"/>
              </w:rPr>
            </w:pPr>
            <w:r>
              <w:rPr>
                <w:rFonts w:hint="eastAsia" w:ascii="宋体" w:hAnsi="宋体" w:eastAsia="宋体" w:cs="宋体"/>
                <w:kern w:val="0"/>
                <w:sz w:val="18"/>
                <w:szCs w:val="18"/>
              </w:rPr>
              <w:t>87</w:t>
            </w:r>
          </w:p>
        </w:tc>
        <w:tc>
          <w:tcPr>
            <w:tcW w:w="1116" w:type="dxa"/>
            <w:tcBorders>
              <w:top w:val="nil"/>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种畜禽生产经营许可证核发</w:t>
            </w:r>
          </w:p>
        </w:tc>
        <w:tc>
          <w:tcPr>
            <w:tcW w:w="1673" w:type="dxa"/>
            <w:tcBorders>
              <w:top w:val="nil"/>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省、设区市、县（市、区）农业行政主管部门</w:t>
            </w:r>
          </w:p>
        </w:tc>
        <w:tc>
          <w:tcPr>
            <w:tcW w:w="5002" w:type="dxa"/>
            <w:tcBorders>
              <w:top w:val="nil"/>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《畜牧法》</w:t>
            </w:r>
          </w:p>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《辽宁省种畜禽生产经营管理办法》（省政府令第256号）</w:t>
            </w:r>
          </w:p>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《辽宁省人民政府关于废止和修改部分省政府规章的决定》（省政府令第294号）</w:t>
            </w:r>
          </w:p>
        </w:tc>
        <w:tc>
          <w:tcPr>
            <w:tcW w:w="1261" w:type="dxa"/>
            <w:tcBorders>
              <w:top w:val="nil"/>
              <w:left w:val="nil"/>
              <w:bottom w:val="single" w:color="auto" w:sz="4" w:space="0"/>
              <w:right w:val="single" w:color="auto" w:sz="4" w:space="0"/>
            </w:tcBorders>
            <w:shd w:val="clear" w:color="000000" w:fill="FFFFFF"/>
            <w:vAlign w:val="center"/>
          </w:tcPr>
          <w:p>
            <w:pPr>
              <w:spacing w:line="180" w:lineRule="exact"/>
              <w:rPr>
                <w:rFonts w:ascii="宋体" w:hAnsi="宋体" w:eastAsia="宋体" w:cs="宋体"/>
                <w:sz w:val="18"/>
                <w:szCs w:val="18"/>
              </w:rPr>
            </w:pPr>
            <w:r>
              <w:rPr>
                <w:rFonts w:hint="eastAsia"/>
                <w:sz w:val="18"/>
                <w:szCs w:val="18"/>
              </w:rPr>
              <w:t>种畜、种禽、蜜蜂生产</w:t>
            </w:r>
          </w:p>
        </w:tc>
      </w:tr>
      <w:tr>
        <w:tblPrEx>
          <w:tblCellMar>
            <w:top w:w="0" w:type="dxa"/>
            <w:left w:w="108" w:type="dxa"/>
            <w:bottom w:w="0" w:type="dxa"/>
            <w:right w:w="108" w:type="dxa"/>
          </w:tblCellMar>
        </w:tblPrEx>
        <w:trPr>
          <w:cantSplit/>
          <w:trHeight w:val="796" w:hRule="atLeast"/>
          <w:jc w:val="center"/>
        </w:trPr>
        <w:tc>
          <w:tcPr>
            <w:tcW w:w="756" w:type="dxa"/>
            <w:tcBorders>
              <w:top w:val="nil"/>
              <w:left w:val="single" w:color="auto" w:sz="4" w:space="0"/>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bCs/>
                <w:kern w:val="0"/>
                <w:sz w:val="18"/>
                <w:szCs w:val="18"/>
              </w:rPr>
            </w:pPr>
            <w:r>
              <w:rPr>
                <w:rFonts w:hint="eastAsia" w:ascii="宋体" w:hAnsi="宋体" w:eastAsia="宋体" w:cs="宋体"/>
                <w:bCs/>
                <w:kern w:val="0"/>
                <w:sz w:val="18"/>
                <w:szCs w:val="18"/>
              </w:rPr>
              <w:t>88</w:t>
            </w:r>
          </w:p>
        </w:tc>
        <w:tc>
          <w:tcPr>
            <w:tcW w:w="1116" w:type="dxa"/>
            <w:tcBorders>
              <w:top w:val="nil"/>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农药生产、经营许可</w:t>
            </w:r>
          </w:p>
        </w:tc>
        <w:tc>
          <w:tcPr>
            <w:tcW w:w="1673" w:type="dxa"/>
            <w:tcBorders>
              <w:top w:val="nil"/>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省、设区市、县（市、区）农业行政主管部门</w:t>
            </w:r>
          </w:p>
        </w:tc>
        <w:tc>
          <w:tcPr>
            <w:tcW w:w="5002" w:type="dxa"/>
            <w:tcBorders>
              <w:top w:val="nil"/>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《农药管理条例》（国务院令第326号）</w:t>
            </w:r>
          </w:p>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《农药生产管理办法》（国家发展和改革委员会令第23号）</w:t>
            </w:r>
          </w:p>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《国务院关于取消和调整一批行政审批项目等事项的决定》（国发〔2015〕11号）</w:t>
            </w:r>
          </w:p>
        </w:tc>
        <w:tc>
          <w:tcPr>
            <w:tcW w:w="1261" w:type="dxa"/>
            <w:tcBorders>
              <w:top w:val="nil"/>
              <w:left w:val="nil"/>
              <w:bottom w:val="single" w:color="auto" w:sz="4" w:space="0"/>
              <w:right w:val="single" w:color="auto" w:sz="4" w:space="0"/>
            </w:tcBorders>
            <w:shd w:val="clear" w:color="000000" w:fill="FFFFFF"/>
            <w:vAlign w:val="center"/>
          </w:tcPr>
          <w:p>
            <w:pPr>
              <w:spacing w:line="180" w:lineRule="exact"/>
              <w:rPr>
                <w:rFonts w:ascii="宋体" w:hAnsi="宋体" w:eastAsia="宋体" w:cs="宋体"/>
                <w:sz w:val="18"/>
                <w:szCs w:val="18"/>
              </w:rPr>
            </w:pPr>
            <w:r>
              <w:rPr>
                <w:rFonts w:hint="eastAsia"/>
                <w:sz w:val="18"/>
                <w:szCs w:val="18"/>
              </w:rPr>
              <w:t>农药</w:t>
            </w:r>
          </w:p>
        </w:tc>
      </w:tr>
      <w:tr>
        <w:tblPrEx>
          <w:tblCellMar>
            <w:top w:w="0" w:type="dxa"/>
            <w:left w:w="108" w:type="dxa"/>
            <w:bottom w:w="0" w:type="dxa"/>
            <w:right w:w="108" w:type="dxa"/>
          </w:tblCellMar>
        </w:tblPrEx>
        <w:trPr>
          <w:cantSplit/>
          <w:trHeight w:val="652" w:hRule="atLeast"/>
          <w:jc w:val="center"/>
        </w:trPr>
        <w:tc>
          <w:tcPr>
            <w:tcW w:w="756" w:type="dxa"/>
            <w:tcBorders>
              <w:top w:val="nil"/>
              <w:left w:val="single" w:color="auto" w:sz="4" w:space="0"/>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bCs/>
                <w:kern w:val="0"/>
                <w:sz w:val="18"/>
                <w:szCs w:val="18"/>
              </w:rPr>
            </w:pPr>
            <w:r>
              <w:rPr>
                <w:rFonts w:hint="eastAsia" w:ascii="宋体" w:hAnsi="宋体" w:eastAsia="宋体" w:cs="宋体"/>
                <w:bCs/>
                <w:kern w:val="0"/>
                <w:sz w:val="18"/>
                <w:szCs w:val="18"/>
              </w:rPr>
              <w:t>89</w:t>
            </w:r>
          </w:p>
        </w:tc>
        <w:tc>
          <w:tcPr>
            <w:tcW w:w="1116" w:type="dxa"/>
            <w:tcBorders>
              <w:top w:val="nil"/>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兽药生产许可证核发</w:t>
            </w:r>
          </w:p>
        </w:tc>
        <w:tc>
          <w:tcPr>
            <w:tcW w:w="1673" w:type="dxa"/>
            <w:tcBorders>
              <w:top w:val="nil"/>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省农业农村厅</w:t>
            </w:r>
          </w:p>
        </w:tc>
        <w:tc>
          <w:tcPr>
            <w:tcW w:w="5002" w:type="dxa"/>
            <w:tcBorders>
              <w:top w:val="nil"/>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《兽药管理条例》（国务院令第404号）</w:t>
            </w:r>
          </w:p>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《国务院关于取消和调整一批行政审批项目等事项的决定》（国发〔2014〕27号）</w:t>
            </w:r>
          </w:p>
        </w:tc>
        <w:tc>
          <w:tcPr>
            <w:tcW w:w="1261" w:type="dxa"/>
            <w:tcBorders>
              <w:top w:val="nil"/>
              <w:left w:val="nil"/>
              <w:bottom w:val="single" w:color="auto" w:sz="4" w:space="0"/>
              <w:right w:val="single" w:color="auto" w:sz="4" w:space="0"/>
            </w:tcBorders>
            <w:shd w:val="clear" w:color="000000" w:fill="FFFFFF"/>
            <w:vAlign w:val="center"/>
          </w:tcPr>
          <w:p>
            <w:pPr>
              <w:spacing w:line="180" w:lineRule="exact"/>
              <w:rPr>
                <w:rFonts w:ascii="宋体" w:hAnsi="宋体" w:eastAsia="宋体" w:cs="宋体"/>
                <w:sz w:val="18"/>
                <w:szCs w:val="18"/>
              </w:rPr>
            </w:pPr>
            <w:r>
              <w:rPr>
                <w:rFonts w:hint="eastAsia"/>
                <w:sz w:val="18"/>
                <w:szCs w:val="18"/>
              </w:rPr>
              <w:t>兽药生产</w:t>
            </w:r>
          </w:p>
        </w:tc>
      </w:tr>
      <w:tr>
        <w:tblPrEx>
          <w:tblCellMar>
            <w:top w:w="0" w:type="dxa"/>
            <w:left w:w="108" w:type="dxa"/>
            <w:bottom w:w="0" w:type="dxa"/>
            <w:right w:w="108" w:type="dxa"/>
          </w:tblCellMar>
        </w:tblPrEx>
        <w:trPr>
          <w:cantSplit/>
          <w:trHeight w:val="652" w:hRule="atLeast"/>
          <w:jc w:val="center"/>
        </w:trPr>
        <w:tc>
          <w:tcPr>
            <w:tcW w:w="756" w:type="dxa"/>
            <w:tcBorders>
              <w:top w:val="nil"/>
              <w:left w:val="single" w:color="auto" w:sz="4" w:space="0"/>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kern w:val="0"/>
                <w:sz w:val="18"/>
                <w:szCs w:val="18"/>
              </w:rPr>
            </w:pPr>
            <w:r>
              <w:rPr>
                <w:rFonts w:hint="eastAsia" w:ascii="宋体" w:hAnsi="宋体" w:eastAsia="宋体" w:cs="宋体"/>
                <w:kern w:val="0"/>
                <w:sz w:val="18"/>
                <w:szCs w:val="18"/>
              </w:rPr>
              <w:t>90</w:t>
            </w:r>
          </w:p>
        </w:tc>
        <w:tc>
          <w:tcPr>
            <w:tcW w:w="1116" w:type="dxa"/>
            <w:tcBorders>
              <w:top w:val="nil"/>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兽药经营许可证核发</w:t>
            </w:r>
          </w:p>
        </w:tc>
        <w:tc>
          <w:tcPr>
            <w:tcW w:w="1673" w:type="dxa"/>
            <w:tcBorders>
              <w:top w:val="nil"/>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设区市、县（市、区）农业行政主管部门</w:t>
            </w:r>
          </w:p>
        </w:tc>
        <w:tc>
          <w:tcPr>
            <w:tcW w:w="5002" w:type="dxa"/>
            <w:tcBorders>
              <w:top w:val="nil"/>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《兽药管理条例》（国务院令第404号）</w:t>
            </w:r>
          </w:p>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《国务院关于取消和调整一批行政审批项目等事项的决定》（国发〔2014〕27号）</w:t>
            </w:r>
          </w:p>
        </w:tc>
        <w:tc>
          <w:tcPr>
            <w:tcW w:w="1261" w:type="dxa"/>
            <w:tcBorders>
              <w:top w:val="nil"/>
              <w:left w:val="nil"/>
              <w:bottom w:val="single" w:color="auto" w:sz="4" w:space="0"/>
              <w:right w:val="single" w:color="auto" w:sz="4" w:space="0"/>
            </w:tcBorders>
            <w:shd w:val="clear" w:color="000000" w:fill="FFFFFF"/>
            <w:vAlign w:val="center"/>
          </w:tcPr>
          <w:p>
            <w:pPr>
              <w:spacing w:line="180" w:lineRule="exact"/>
              <w:rPr>
                <w:sz w:val="18"/>
                <w:szCs w:val="18"/>
              </w:rPr>
            </w:pPr>
            <w:r>
              <w:rPr>
                <w:rFonts w:hint="eastAsia"/>
                <w:sz w:val="18"/>
                <w:szCs w:val="18"/>
              </w:rPr>
              <w:t>兽药经营</w:t>
            </w:r>
          </w:p>
        </w:tc>
      </w:tr>
      <w:tr>
        <w:tblPrEx>
          <w:tblCellMar>
            <w:top w:w="0" w:type="dxa"/>
            <w:left w:w="108" w:type="dxa"/>
            <w:bottom w:w="0" w:type="dxa"/>
            <w:right w:w="108" w:type="dxa"/>
          </w:tblCellMar>
        </w:tblPrEx>
        <w:trPr>
          <w:cantSplit/>
          <w:trHeight w:val="952" w:hRule="atLeast"/>
          <w:jc w:val="center"/>
        </w:trPr>
        <w:tc>
          <w:tcPr>
            <w:tcW w:w="756" w:type="dxa"/>
            <w:tcBorders>
              <w:top w:val="nil"/>
              <w:left w:val="single" w:color="auto" w:sz="4" w:space="0"/>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kern w:val="0"/>
                <w:sz w:val="18"/>
                <w:szCs w:val="18"/>
              </w:rPr>
            </w:pPr>
            <w:r>
              <w:rPr>
                <w:rFonts w:hint="eastAsia" w:ascii="宋体" w:hAnsi="宋体" w:eastAsia="宋体" w:cs="宋体"/>
                <w:bCs/>
                <w:kern w:val="0"/>
                <w:sz w:val="18"/>
                <w:szCs w:val="18"/>
              </w:rPr>
              <w:t>91</w:t>
            </w:r>
          </w:p>
        </w:tc>
        <w:tc>
          <w:tcPr>
            <w:tcW w:w="1116" w:type="dxa"/>
            <w:tcBorders>
              <w:top w:val="nil"/>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从事动物诊疗机构设立许可</w:t>
            </w:r>
          </w:p>
        </w:tc>
        <w:tc>
          <w:tcPr>
            <w:tcW w:w="1673" w:type="dxa"/>
            <w:tcBorders>
              <w:top w:val="nil"/>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设区市、县（市、区）农业行政主管部门</w:t>
            </w:r>
          </w:p>
        </w:tc>
        <w:tc>
          <w:tcPr>
            <w:tcW w:w="5002" w:type="dxa"/>
            <w:tcBorders>
              <w:top w:val="nil"/>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《动物防疫法》</w:t>
            </w:r>
          </w:p>
        </w:tc>
        <w:tc>
          <w:tcPr>
            <w:tcW w:w="1261" w:type="dxa"/>
            <w:tcBorders>
              <w:top w:val="nil"/>
              <w:left w:val="nil"/>
              <w:bottom w:val="single" w:color="auto" w:sz="4" w:space="0"/>
              <w:right w:val="single" w:color="auto" w:sz="4" w:space="0"/>
            </w:tcBorders>
            <w:shd w:val="clear" w:color="000000" w:fill="FFFFFF"/>
            <w:vAlign w:val="center"/>
          </w:tcPr>
          <w:p>
            <w:pPr>
              <w:spacing w:line="180" w:lineRule="exact"/>
              <w:rPr>
                <w:sz w:val="18"/>
                <w:szCs w:val="18"/>
              </w:rPr>
            </w:pPr>
            <w:r>
              <w:rPr>
                <w:rFonts w:hint="eastAsia"/>
                <w:sz w:val="18"/>
                <w:szCs w:val="18"/>
              </w:rPr>
              <w:t>动物诊疗、宠物诊疗、畜禽诊疗</w:t>
            </w:r>
          </w:p>
        </w:tc>
      </w:tr>
      <w:tr>
        <w:tblPrEx>
          <w:tblCellMar>
            <w:top w:w="0" w:type="dxa"/>
            <w:left w:w="108" w:type="dxa"/>
            <w:bottom w:w="0" w:type="dxa"/>
            <w:right w:w="108" w:type="dxa"/>
          </w:tblCellMar>
        </w:tblPrEx>
        <w:trPr>
          <w:cantSplit/>
          <w:trHeight w:val="503" w:hRule="atLeast"/>
          <w:jc w:val="center"/>
        </w:trPr>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b/>
                <w:bCs/>
                <w:kern w:val="0"/>
                <w:sz w:val="18"/>
                <w:szCs w:val="18"/>
              </w:rPr>
            </w:pPr>
            <w:r>
              <w:rPr>
                <w:rFonts w:hint="eastAsia" w:ascii="宋体" w:hAnsi="宋体" w:eastAsia="宋体" w:cs="宋体"/>
                <w:b/>
                <w:bCs/>
                <w:kern w:val="0"/>
                <w:sz w:val="18"/>
                <w:szCs w:val="18"/>
              </w:rPr>
              <w:t>序号</w:t>
            </w:r>
          </w:p>
        </w:tc>
        <w:tc>
          <w:tcPr>
            <w:tcW w:w="1116"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b/>
                <w:bCs/>
                <w:kern w:val="0"/>
                <w:sz w:val="18"/>
                <w:szCs w:val="18"/>
              </w:rPr>
            </w:pPr>
            <w:r>
              <w:rPr>
                <w:rFonts w:hint="eastAsia" w:ascii="宋体" w:hAnsi="宋体" w:eastAsia="宋体" w:cs="宋体"/>
                <w:b/>
                <w:bCs/>
                <w:kern w:val="0"/>
                <w:sz w:val="18"/>
                <w:szCs w:val="18"/>
              </w:rPr>
              <w:t>项目名称</w:t>
            </w:r>
          </w:p>
        </w:tc>
        <w:tc>
          <w:tcPr>
            <w:tcW w:w="1673"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b/>
                <w:bCs/>
                <w:kern w:val="0"/>
                <w:sz w:val="18"/>
                <w:szCs w:val="18"/>
              </w:rPr>
            </w:pPr>
            <w:r>
              <w:rPr>
                <w:rFonts w:hint="eastAsia" w:ascii="宋体" w:hAnsi="宋体" w:eastAsia="宋体" w:cs="宋体"/>
                <w:b/>
                <w:bCs/>
                <w:kern w:val="0"/>
                <w:sz w:val="18"/>
                <w:szCs w:val="18"/>
              </w:rPr>
              <w:t>实施机关</w:t>
            </w:r>
          </w:p>
        </w:tc>
        <w:tc>
          <w:tcPr>
            <w:tcW w:w="5002"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b/>
                <w:bCs/>
                <w:kern w:val="0"/>
                <w:sz w:val="18"/>
                <w:szCs w:val="18"/>
              </w:rPr>
            </w:pPr>
            <w:r>
              <w:rPr>
                <w:rFonts w:hint="eastAsia" w:ascii="宋体" w:hAnsi="宋体" w:eastAsia="宋体" w:cs="宋体"/>
                <w:b/>
                <w:bCs/>
                <w:kern w:val="0"/>
                <w:sz w:val="18"/>
                <w:szCs w:val="18"/>
              </w:rPr>
              <w:t xml:space="preserve">设定依据                                                                                         </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180" w:lineRule="exact"/>
              <w:rPr>
                <w:rFonts w:ascii="宋体" w:hAnsi="宋体" w:eastAsia="宋体" w:cs="宋体"/>
                <w:sz w:val="18"/>
                <w:szCs w:val="18"/>
              </w:rPr>
            </w:pPr>
            <w:r>
              <w:rPr>
                <w:rFonts w:hint="eastAsia" w:ascii="宋体" w:hAnsi="宋体" w:eastAsia="宋体" w:cs="宋体"/>
                <w:b/>
                <w:bCs/>
                <w:kern w:val="0"/>
                <w:sz w:val="18"/>
                <w:szCs w:val="18"/>
              </w:rPr>
              <w:t>检索关键词</w:t>
            </w:r>
          </w:p>
        </w:tc>
      </w:tr>
      <w:tr>
        <w:tblPrEx>
          <w:tblCellMar>
            <w:top w:w="0" w:type="dxa"/>
            <w:left w:w="108" w:type="dxa"/>
            <w:bottom w:w="0" w:type="dxa"/>
            <w:right w:w="108" w:type="dxa"/>
          </w:tblCellMar>
        </w:tblPrEx>
        <w:trPr>
          <w:cantSplit/>
          <w:trHeight w:val="2252" w:hRule="atLeast"/>
          <w:jc w:val="center"/>
        </w:trPr>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kern w:val="0"/>
                <w:sz w:val="18"/>
                <w:szCs w:val="18"/>
              </w:rPr>
            </w:pPr>
            <w:r>
              <w:rPr>
                <w:rFonts w:hint="eastAsia" w:ascii="宋体" w:hAnsi="宋体" w:eastAsia="宋体" w:cs="宋体"/>
                <w:kern w:val="0"/>
                <w:sz w:val="18"/>
                <w:szCs w:val="18"/>
              </w:rPr>
              <w:t>92</w:t>
            </w:r>
          </w:p>
        </w:tc>
        <w:tc>
          <w:tcPr>
            <w:tcW w:w="1116"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兴办动物饲养场（养殖小区）和隔离场所，动物屠宰加工场所，以及动物和动物产品无害化处理场所审批（动物防疫条件合格证核发）</w:t>
            </w:r>
          </w:p>
        </w:tc>
        <w:tc>
          <w:tcPr>
            <w:tcW w:w="1673"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设区市、县（市、区）农业行政主管部门</w:t>
            </w:r>
          </w:p>
        </w:tc>
        <w:tc>
          <w:tcPr>
            <w:tcW w:w="5002"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《动物防疫法》</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180" w:lineRule="exact"/>
              <w:rPr>
                <w:rFonts w:ascii="宋体" w:hAnsi="宋体" w:eastAsia="宋体" w:cs="宋体"/>
                <w:sz w:val="18"/>
                <w:szCs w:val="18"/>
              </w:rPr>
            </w:pPr>
            <w:r>
              <w:rPr>
                <w:rFonts w:hint="eastAsia"/>
                <w:sz w:val="18"/>
                <w:szCs w:val="18"/>
              </w:rPr>
              <w:t>动物养殖、动物饲养、动物屠宰、动物无害化处理、动物隔离</w:t>
            </w:r>
          </w:p>
        </w:tc>
      </w:tr>
      <w:tr>
        <w:tblPrEx>
          <w:tblCellMar>
            <w:top w:w="0" w:type="dxa"/>
            <w:left w:w="108" w:type="dxa"/>
            <w:bottom w:w="0" w:type="dxa"/>
            <w:right w:w="108" w:type="dxa"/>
          </w:tblCellMar>
        </w:tblPrEx>
        <w:trPr>
          <w:cantSplit/>
          <w:trHeight w:val="690" w:hRule="atLeast"/>
          <w:jc w:val="center"/>
        </w:trPr>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kern w:val="0"/>
                <w:sz w:val="18"/>
                <w:szCs w:val="18"/>
              </w:rPr>
            </w:pPr>
            <w:r>
              <w:rPr>
                <w:rFonts w:hint="eastAsia" w:ascii="宋体" w:hAnsi="宋体" w:eastAsia="宋体" w:cs="宋体"/>
                <w:kern w:val="0"/>
                <w:sz w:val="18"/>
                <w:szCs w:val="18"/>
              </w:rPr>
              <w:t>93</w:t>
            </w:r>
          </w:p>
        </w:tc>
        <w:tc>
          <w:tcPr>
            <w:tcW w:w="1116"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水产苗种生产许可</w:t>
            </w:r>
          </w:p>
        </w:tc>
        <w:tc>
          <w:tcPr>
            <w:tcW w:w="1673"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省、设区市、县（市、区）农业行政主管部门</w:t>
            </w:r>
          </w:p>
        </w:tc>
        <w:tc>
          <w:tcPr>
            <w:tcW w:w="5002"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《渔业法》</w:t>
            </w:r>
          </w:p>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《水产苗种管理办法》(农业部令第46号)</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180" w:lineRule="exact"/>
              <w:rPr>
                <w:rFonts w:ascii="宋体" w:hAnsi="宋体" w:eastAsia="宋体" w:cs="宋体"/>
                <w:sz w:val="18"/>
                <w:szCs w:val="18"/>
              </w:rPr>
            </w:pPr>
            <w:r>
              <w:rPr>
                <w:rFonts w:hint="eastAsia"/>
                <w:sz w:val="18"/>
                <w:szCs w:val="18"/>
              </w:rPr>
              <w:t>水产苗种</w:t>
            </w:r>
          </w:p>
        </w:tc>
      </w:tr>
      <w:tr>
        <w:tblPrEx>
          <w:tblCellMar>
            <w:top w:w="0" w:type="dxa"/>
            <w:left w:w="108" w:type="dxa"/>
            <w:bottom w:w="0" w:type="dxa"/>
            <w:right w:w="108" w:type="dxa"/>
          </w:tblCellMar>
        </w:tblPrEx>
        <w:trPr>
          <w:cantSplit/>
          <w:trHeight w:val="707" w:hRule="atLeast"/>
          <w:jc w:val="center"/>
        </w:trPr>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kern w:val="0"/>
                <w:sz w:val="18"/>
                <w:szCs w:val="18"/>
              </w:rPr>
            </w:pPr>
            <w:r>
              <w:rPr>
                <w:rFonts w:hint="eastAsia" w:ascii="宋体" w:hAnsi="宋体" w:eastAsia="宋体" w:cs="宋体"/>
                <w:kern w:val="0"/>
                <w:sz w:val="18"/>
                <w:szCs w:val="18"/>
              </w:rPr>
              <w:t>94</w:t>
            </w:r>
          </w:p>
        </w:tc>
        <w:tc>
          <w:tcPr>
            <w:tcW w:w="1116"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渔业捕捞许可</w:t>
            </w:r>
          </w:p>
        </w:tc>
        <w:tc>
          <w:tcPr>
            <w:tcW w:w="1673"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省、设区市、县（市、区）农业行政主管部门</w:t>
            </w:r>
          </w:p>
        </w:tc>
        <w:tc>
          <w:tcPr>
            <w:tcW w:w="5002"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《渔业法》</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180" w:lineRule="exact"/>
              <w:rPr>
                <w:rFonts w:ascii="宋体" w:hAnsi="宋体" w:eastAsia="宋体" w:cs="宋体"/>
                <w:sz w:val="18"/>
                <w:szCs w:val="18"/>
              </w:rPr>
            </w:pPr>
            <w:r>
              <w:rPr>
                <w:rFonts w:hint="eastAsia"/>
                <w:sz w:val="18"/>
                <w:szCs w:val="18"/>
              </w:rPr>
              <w:t>渔业捕捞</w:t>
            </w:r>
          </w:p>
        </w:tc>
      </w:tr>
      <w:tr>
        <w:tblPrEx>
          <w:tblCellMar>
            <w:top w:w="0" w:type="dxa"/>
            <w:left w:w="108" w:type="dxa"/>
            <w:bottom w:w="0" w:type="dxa"/>
            <w:right w:w="108" w:type="dxa"/>
          </w:tblCellMar>
        </w:tblPrEx>
        <w:trPr>
          <w:cantSplit/>
          <w:trHeight w:val="986" w:hRule="atLeast"/>
          <w:jc w:val="center"/>
        </w:trPr>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kern w:val="0"/>
                <w:sz w:val="18"/>
                <w:szCs w:val="18"/>
              </w:rPr>
            </w:pPr>
            <w:r>
              <w:rPr>
                <w:rFonts w:hint="eastAsia" w:ascii="宋体" w:hAnsi="宋体" w:eastAsia="宋体" w:cs="宋体"/>
                <w:kern w:val="0"/>
                <w:sz w:val="18"/>
                <w:szCs w:val="18"/>
              </w:rPr>
              <w:t>95</w:t>
            </w:r>
          </w:p>
        </w:tc>
        <w:tc>
          <w:tcPr>
            <w:tcW w:w="1116"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粮食收购资格审批</w:t>
            </w:r>
          </w:p>
        </w:tc>
        <w:tc>
          <w:tcPr>
            <w:tcW w:w="1673"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省、设区市、县（市、区）粮食管理部门</w:t>
            </w:r>
          </w:p>
        </w:tc>
        <w:tc>
          <w:tcPr>
            <w:tcW w:w="5002"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《粮食流通管理条例》（国务院令第407号）</w:t>
            </w:r>
          </w:p>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《国务院关于进一步深化粮食流通体制改革的意见》（国发〔2004〕17号）</w:t>
            </w:r>
          </w:p>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《国务院关于取消和调整一批行政审批项目等事项的决定》（国发〔2014〕50号）</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180" w:lineRule="exact"/>
              <w:rPr>
                <w:rFonts w:ascii="宋体" w:hAnsi="宋体" w:eastAsia="宋体" w:cs="宋体"/>
                <w:sz w:val="18"/>
                <w:szCs w:val="18"/>
              </w:rPr>
            </w:pPr>
            <w:r>
              <w:rPr>
                <w:rFonts w:hint="eastAsia"/>
                <w:sz w:val="18"/>
                <w:szCs w:val="18"/>
              </w:rPr>
              <w:t>粮食收购</w:t>
            </w:r>
          </w:p>
        </w:tc>
      </w:tr>
      <w:tr>
        <w:tblPrEx>
          <w:tblCellMar>
            <w:top w:w="0" w:type="dxa"/>
            <w:left w:w="108" w:type="dxa"/>
            <w:bottom w:w="0" w:type="dxa"/>
            <w:right w:w="108" w:type="dxa"/>
          </w:tblCellMar>
        </w:tblPrEx>
        <w:trPr>
          <w:cantSplit/>
          <w:trHeight w:val="1270" w:hRule="atLeast"/>
          <w:jc w:val="center"/>
        </w:trPr>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kern w:val="0"/>
                <w:sz w:val="18"/>
                <w:szCs w:val="18"/>
              </w:rPr>
            </w:pPr>
            <w:r>
              <w:rPr>
                <w:rFonts w:hint="eastAsia" w:ascii="宋体" w:hAnsi="宋体" w:eastAsia="宋体" w:cs="宋体"/>
                <w:kern w:val="0"/>
                <w:sz w:val="18"/>
                <w:szCs w:val="18"/>
              </w:rPr>
              <w:t>96</w:t>
            </w:r>
          </w:p>
        </w:tc>
        <w:tc>
          <w:tcPr>
            <w:tcW w:w="1116"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电力业务（发电类、输电类、供电类）许可证核发</w:t>
            </w:r>
          </w:p>
        </w:tc>
        <w:tc>
          <w:tcPr>
            <w:tcW w:w="1673"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国家能源局东北监管局</w:t>
            </w:r>
          </w:p>
        </w:tc>
        <w:tc>
          <w:tcPr>
            <w:tcW w:w="5002"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《电力法》</w:t>
            </w:r>
          </w:p>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《电力监管条例》（国务院令第432号）</w:t>
            </w:r>
          </w:p>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《电力业务许可证管理规定》（国家电力监管委员会令第9号）</w:t>
            </w:r>
          </w:p>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《国务院关于取消和下放50项行政审批等事项的决定》（国发〔2013〕27号）</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sz w:val="18"/>
                <w:szCs w:val="18"/>
              </w:rPr>
            </w:pPr>
            <w:r>
              <w:rPr>
                <w:rFonts w:hint="eastAsia"/>
                <w:sz w:val="18"/>
                <w:szCs w:val="18"/>
              </w:rPr>
              <w:t>发电、输电、供电</w:t>
            </w:r>
          </w:p>
        </w:tc>
      </w:tr>
      <w:tr>
        <w:tblPrEx>
          <w:tblCellMar>
            <w:top w:w="0" w:type="dxa"/>
            <w:left w:w="108" w:type="dxa"/>
            <w:bottom w:w="0" w:type="dxa"/>
            <w:right w:w="108" w:type="dxa"/>
          </w:tblCellMar>
        </w:tblPrEx>
        <w:trPr>
          <w:cantSplit/>
          <w:trHeight w:val="834" w:hRule="atLeast"/>
          <w:jc w:val="center"/>
        </w:trPr>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kern w:val="0"/>
                <w:sz w:val="18"/>
                <w:szCs w:val="18"/>
              </w:rPr>
            </w:pPr>
            <w:r>
              <w:rPr>
                <w:rFonts w:hint="eastAsia" w:ascii="宋体" w:hAnsi="宋体" w:eastAsia="宋体" w:cs="宋体"/>
                <w:kern w:val="0"/>
                <w:sz w:val="18"/>
                <w:szCs w:val="18"/>
              </w:rPr>
              <w:t>97</w:t>
            </w:r>
          </w:p>
        </w:tc>
        <w:tc>
          <w:tcPr>
            <w:tcW w:w="1116"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 xml:space="preserve">承装（承修、承试）电力设施许可证核发 </w:t>
            </w:r>
          </w:p>
        </w:tc>
        <w:tc>
          <w:tcPr>
            <w:tcW w:w="1673"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国家能源局东北监管局</w:t>
            </w:r>
          </w:p>
        </w:tc>
        <w:tc>
          <w:tcPr>
            <w:tcW w:w="5002"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《电力供应与使用条例》(国务院令第196号)</w:t>
            </w:r>
          </w:p>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《国务院关于取消和调整一批行政审批项目等事项的决定》（国发〔2014〕50号）</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sz w:val="18"/>
                <w:szCs w:val="18"/>
              </w:rPr>
            </w:pPr>
            <w:r>
              <w:rPr>
                <w:rFonts w:hint="eastAsia"/>
                <w:sz w:val="18"/>
                <w:szCs w:val="18"/>
              </w:rPr>
              <w:t>电力承装、电力承修、电力承试</w:t>
            </w:r>
          </w:p>
        </w:tc>
      </w:tr>
      <w:tr>
        <w:tblPrEx>
          <w:tblCellMar>
            <w:top w:w="0" w:type="dxa"/>
            <w:left w:w="108" w:type="dxa"/>
            <w:bottom w:w="0" w:type="dxa"/>
            <w:right w:w="108" w:type="dxa"/>
          </w:tblCellMar>
        </w:tblPrEx>
        <w:trPr>
          <w:cantSplit/>
          <w:trHeight w:val="649" w:hRule="atLeast"/>
          <w:jc w:val="center"/>
        </w:trPr>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kern w:val="0"/>
                <w:sz w:val="18"/>
                <w:szCs w:val="18"/>
              </w:rPr>
            </w:pPr>
            <w:r>
              <w:rPr>
                <w:rFonts w:hint="eastAsia" w:ascii="宋体" w:hAnsi="宋体" w:eastAsia="宋体" w:cs="宋体"/>
                <w:kern w:val="0"/>
                <w:sz w:val="18"/>
                <w:szCs w:val="18"/>
              </w:rPr>
              <w:t>98</w:t>
            </w:r>
          </w:p>
        </w:tc>
        <w:tc>
          <w:tcPr>
            <w:tcW w:w="1116"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水利工程质量检测单位资格认定</w:t>
            </w:r>
          </w:p>
        </w:tc>
        <w:tc>
          <w:tcPr>
            <w:tcW w:w="1673"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水利部、省水利厅</w:t>
            </w:r>
          </w:p>
        </w:tc>
        <w:tc>
          <w:tcPr>
            <w:tcW w:w="5002"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《国务院对确需保留的行政审批项目设定许可的决定》（国务院令第412号）</w:t>
            </w:r>
          </w:p>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《水利工程质量检测管理规定》（水利部令第36号）</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180" w:lineRule="exact"/>
              <w:rPr>
                <w:rFonts w:ascii="宋体" w:hAnsi="宋体" w:eastAsia="宋体" w:cs="宋体"/>
                <w:sz w:val="18"/>
                <w:szCs w:val="18"/>
              </w:rPr>
            </w:pPr>
            <w:r>
              <w:rPr>
                <w:rFonts w:hint="eastAsia"/>
                <w:sz w:val="18"/>
                <w:szCs w:val="18"/>
              </w:rPr>
              <w:t>水利工程质量检测</w:t>
            </w:r>
          </w:p>
        </w:tc>
      </w:tr>
      <w:tr>
        <w:tblPrEx>
          <w:tblCellMar>
            <w:top w:w="0" w:type="dxa"/>
            <w:left w:w="108" w:type="dxa"/>
            <w:bottom w:w="0" w:type="dxa"/>
            <w:right w:w="108" w:type="dxa"/>
          </w:tblCellMar>
        </w:tblPrEx>
        <w:trPr>
          <w:cantSplit/>
          <w:trHeight w:val="704" w:hRule="atLeast"/>
          <w:jc w:val="center"/>
        </w:trPr>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bCs/>
                <w:kern w:val="0"/>
                <w:sz w:val="18"/>
                <w:szCs w:val="18"/>
              </w:rPr>
            </w:pPr>
            <w:r>
              <w:rPr>
                <w:rFonts w:hint="eastAsia" w:ascii="宋体" w:hAnsi="宋体" w:eastAsia="宋体" w:cs="宋体"/>
                <w:bCs/>
                <w:kern w:val="0"/>
                <w:sz w:val="18"/>
                <w:szCs w:val="18"/>
              </w:rPr>
              <w:t>99</w:t>
            </w:r>
          </w:p>
        </w:tc>
        <w:tc>
          <w:tcPr>
            <w:tcW w:w="1116"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取水许可</w:t>
            </w:r>
          </w:p>
        </w:tc>
        <w:tc>
          <w:tcPr>
            <w:tcW w:w="1673"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水利部，省、设区市、县（市、区）水利部门</w:t>
            </w:r>
          </w:p>
        </w:tc>
        <w:tc>
          <w:tcPr>
            <w:tcW w:w="5002"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《水法》</w:t>
            </w:r>
          </w:p>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《取水许可和水资源费征收管理条例》（国务院令第460号）</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180" w:lineRule="exact"/>
              <w:rPr>
                <w:rFonts w:ascii="宋体" w:hAnsi="宋体" w:eastAsia="宋体" w:cs="宋体"/>
                <w:sz w:val="18"/>
                <w:szCs w:val="18"/>
              </w:rPr>
            </w:pPr>
            <w:r>
              <w:rPr>
                <w:rFonts w:hint="eastAsia"/>
                <w:sz w:val="18"/>
                <w:szCs w:val="18"/>
              </w:rPr>
              <w:t>取水</w:t>
            </w:r>
          </w:p>
        </w:tc>
      </w:tr>
      <w:tr>
        <w:tblPrEx>
          <w:tblCellMar>
            <w:top w:w="0" w:type="dxa"/>
            <w:left w:w="108" w:type="dxa"/>
            <w:bottom w:w="0" w:type="dxa"/>
            <w:right w:w="108" w:type="dxa"/>
          </w:tblCellMar>
        </w:tblPrEx>
        <w:trPr>
          <w:cantSplit/>
          <w:trHeight w:val="615" w:hRule="atLeast"/>
          <w:jc w:val="center"/>
        </w:trPr>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1116"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水利工程建设监理单位资质认定</w:t>
            </w:r>
          </w:p>
        </w:tc>
        <w:tc>
          <w:tcPr>
            <w:tcW w:w="1673"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水利部</w:t>
            </w:r>
          </w:p>
        </w:tc>
        <w:tc>
          <w:tcPr>
            <w:tcW w:w="5002"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《水利工程建设监理单位资质管理办法》（水利部令第40号）</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180" w:lineRule="exact"/>
              <w:rPr>
                <w:rFonts w:ascii="宋体" w:hAnsi="宋体" w:eastAsia="宋体" w:cs="宋体"/>
                <w:sz w:val="18"/>
                <w:szCs w:val="18"/>
              </w:rPr>
            </w:pPr>
            <w:r>
              <w:rPr>
                <w:rFonts w:hint="eastAsia"/>
                <w:sz w:val="18"/>
                <w:szCs w:val="18"/>
              </w:rPr>
              <w:t>水利工程</w:t>
            </w:r>
          </w:p>
        </w:tc>
      </w:tr>
      <w:tr>
        <w:tblPrEx>
          <w:tblCellMar>
            <w:top w:w="0" w:type="dxa"/>
            <w:left w:w="108" w:type="dxa"/>
            <w:bottom w:w="0" w:type="dxa"/>
            <w:right w:w="108" w:type="dxa"/>
          </w:tblCellMar>
        </w:tblPrEx>
        <w:trPr>
          <w:cantSplit/>
          <w:trHeight w:val="932" w:hRule="atLeast"/>
          <w:jc w:val="center"/>
        </w:trPr>
        <w:tc>
          <w:tcPr>
            <w:tcW w:w="756" w:type="dxa"/>
            <w:tcBorders>
              <w:top w:val="nil"/>
              <w:left w:val="single" w:color="auto" w:sz="4" w:space="0"/>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bCs/>
                <w:kern w:val="0"/>
                <w:sz w:val="18"/>
                <w:szCs w:val="18"/>
              </w:rPr>
            </w:pPr>
            <w:r>
              <w:rPr>
                <w:rFonts w:hint="eastAsia" w:ascii="宋体" w:hAnsi="宋体" w:eastAsia="宋体" w:cs="宋体"/>
                <w:bCs/>
                <w:kern w:val="0"/>
                <w:sz w:val="18"/>
                <w:szCs w:val="18"/>
              </w:rPr>
              <w:t>101</w:t>
            </w:r>
          </w:p>
        </w:tc>
        <w:tc>
          <w:tcPr>
            <w:tcW w:w="1116" w:type="dxa"/>
            <w:tcBorders>
              <w:top w:val="nil"/>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石油成品油批发经营资格审批</w:t>
            </w:r>
          </w:p>
        </w:tc>
        <w:tc>
          <w:tcPr>
            <w:tcW w:w="1673" w:type="dxa"/>
            <w:tcBorders>
              <w:top w:val="nil"/>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商务部</w:t>
            </w:r>
          </w:p>
        </w:tc>
        <w:tc>
          <w:tcPr>
            <w:tcW w:w="5002" w:type="dxa"/>
            <w:tcBorders>
              <w:top w:val="nil"/>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《国务院对确需保留的行政审批项目设定行政许可的决定》（国务院令第412号）</w:t>
            </w:r>
          </w:p>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《成品油市场管理办法》（商务部令第23号）</w:t>
            </w:r>
          </w:p>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《国务院关于取消和调整一批行政审批项目等事项的决定》（国发〔2014〕50号）</w:t>
            </w:r>
          </w:p>
        </w:tc>
        <w:tc>
          <w:tcPr>
            <w:tcW w:w="1261" w:type="dxa"/>
            <w:tcBorders>
              <w:top w:val="nil"/>
              <w:left w:val="nil"/>
              <w:bottom w:val="single" w:color="auto" w:sz="4" w:space="0"/>
              <w:right w:val="single" w:color="auto" w:sz="4" w:space="0"/>
            </w:tcBorders>
            <w:shd w:val="clear" w:color="000000" w:fill="FFFFFF"/>
            <w:vAlign w:val="center"/>
          </w:tcPr>
          <w:p>
            <w:pPr>
              <w:spacing w:line="180" w:lineRule="exact"/>
              <w:rPr>
                <w:rFonts w:ascii="宋体" w:hAnsi="宋体" w:eastAsia="宋体" w:cs="宋体"/>
                <w:sz w:val="18"/>
                <w:szCs w:val="18"/>
              </w:rPr>
            </w:pPr>
            <w:r>
              <w:rPr>
                <w:rFonts w:hint="eastAsia"/>
                <w:sz w:val="18"/>
                <w:szCs w:val="18"/>
              </w:rPr>
              <w:t>石油、成品油</w:t>
            </w:r>
          </w:p>
        </w:tc>
      </w:tr>
      <w:tr>
        <w:tblPrEx>
          <w:tblCellMar>
            <w:top w:w="0" w:type="dxa"/>
            <w:left w:w="108" w:type="dxa"/>
            <w:bottom w:w="0" w:type="dxa"/>
            <w:right w:w="108" w:type="dxa"/>
          </w:tblCellMar>
        </w:tblPrEx>
        <w:trPr>
          <w:cantSplit/>
          <w:trHeight w:val="974" w:hRule="atLeast"/>
          <w:jc w:val="center"/>
        </w:trPr>
        <w:tc>
          <w:tcPr>
            <w:tcW w:w="756" w:type="dxa"/>
            <w:tcBorders>
              <w:top w:val="nil"/>
              <w:left w:val="single" w:color="auto" w:sz="4" w:space="0"/>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kern w:val="0"/>
                <w:sz w:val="18"/>
                <w:szCs w:val="18"/>
              </w:rPr>
            </w:pPr>
            <w:r>
              <w:rPr>
                <w:rFonts w:hint="eastAsia" w:ascii="宋体" w:hAnsi="宋体" w:eastAsia="宋体" w:cs="宋体"/>
                <w:kern w:val="0"/>
                <w:sz w:val="18"/>
                <w:szCs w:val="18"/>
              </w:rPr>
              <w:t>102</w:t>
            </w:r>
          </w:p>
        </w:tc>
        <w:tc>
          <w:tcPr>
            <w:tcW w:w="1116" w:type="dxa"/>
            <w:tcBorders>
              <w:top w:val="nil"/>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石油成品油零售经营资格审批</w:t>
            </w:r>
          </w:p>
        </w:tc>
        <w:tc>
          <w:tcPr>
            <w:tcW w:w="1673" w:type="dxa"/>
            <w:tcBorders>
              <w:top w:val="nil"/>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设区市商务行政主管部门</w:t>
            </w:r>
          </w:p>
        </w:tc>
        <w:tc>
          <w:tcPr>
            <w:tcW w:w="5002" w:type="dxa"/>
            <w:tcBorders>
              <w:top w:val="nil"/>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《国务院对确需保留的行政审批项目设定行政许可的决定》（国务院令第412号）</w:t>
            </w:r>
          </w:p>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《成品油市场管理办法》（商务部令第23号）</w:t>
            </w:r>
          </w:p>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《国务院关于取消和调整一批行政审批项目等事项的决定》（国发〔2014〕50号）</w:t>
            </w:r>
          </w:p>
        </w:tc>
        <w:tc>
          <w:tcPr>
            <w:tcW w:w="1261" w:type="dxa"/>
            <w:tcBorders>
              <w:top w:val="nil"/>
              <w:left w:val="nil"/>
              <w:bottom w:val="single" w:color="auto" w:sz="4" w:space="0"/>
              <w:right w:val="single" w:color="auto" w:sz="4" w:space="0"/>
            </w:tcBorders>
            <w:shd w:val="clear" w:color="000000" w:fill="FFFFFF"/>
            <w:vAlign w:val="center"/>
          </w:tcPr>
          <w:p>
            <w:pPr>
              <w:spacing w:line="180" w:lineRule="exact"/>
              <w:rPr>
                <w:rFonts w:ascii="宋体" w:hAnsi="宋体" w:eastAsia="宋体" w:cs="宋体"/>
                <w:sz w:val="18"/>
                <w:szCs w:val="18"/>
              </w:rPr>
            </w:pPr>
            <w:r>
              <w:rPr>
                <w:rFonts w:hint="eastAsia"/>
                <w:sz w:val="18"/>
                <w:szCs w:val="18"/>
              </w:rPr>
              <w:t>成品油</w:t>
            </w:r>
          </w:p>
        </w:tc>
      </w:tr>
      <w:tr>
        <w:tblPrEx>
          <w:tblCellMar>
            <w:top w:w="0" w:type="dxa"/>
            <w:left w:w="108" w:type="dxa"/>
            <w:bottom w:w="0" w:type="dxa"/>
            <w:right w:w="108" w:type="dxa"/>
          </w:tblCellMar>
        </w:tblPrEx>
        <w:trPr>
          <w:cantSplit/>
          <w:trHeight w:val="646" w:hRule="atLeast"/>
          <w:jc w:val="center"/>
        </w:trPr>
        <w:tc>
          <w:tcPr>
            <w:tcW w:w="756" w:type="dxa"/>
            <w:tcBorders>
              <w:top w:val="nil"/>
              <w:left w:val="single" w:color="auto" w:sz="4" w:space="0"/>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bCs/>
                <w:kern w:val="0"/>
                <w:sz w:val="18"/>
                <w:szCs w:val="18"/>
              </w:rPr>
            </w:pPr>
            <w:r>
              <w:rPr>
                <w:rFonts w:hint="eastAsia" w:ascii="宋体" w:hAnsi="宋体" w:eastAsia="宋体" w:cs="宋体"/>
                <w:bCs/>
                <w:kern w:val="0"/>
                <w:sz w:val="18"/>
                <w:szCs w:val="18"/>
              </w:rPr>
              <w:t>103</w:t>
            </w:r>
          </w:p>
        </w:tc>
        <w:tc>
          <w:tcPr>
            <w:tcW w:w="1116" w:type="dxa"/>
            <w:tcBorders>
              <w:top w:val="nil"/>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对外劳务合作经营资格核准</w:t>
            </w:r>
          </w:p>
        </w:tc>
        <w:tc>
          <w:tcPr>
            <w:tcW w:w="1673" w:type="dxa"/>
            <w:tcBorders>
              <w:top w:val="nil"/>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设区市商务行政主管部门</w:t>
            </w:r>
          </w:p>
        </w:tc>
        <w:tc>
          <w:tcPr>
            <w:tcW w:w="5002" w:type="dxa"/>
            <w:tcBorders>
              <w:top w:val="nil"/>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《对外劳务合作管理条例》（国务院令第620号）</w:t>
            </w:r>
          </w:p>
        </w:tc>
        <w:tc>
          <w:tcPr>
            <w:tcW w:w="1261" w:type="dxa"/>
            <w:tcBorders>
              <w:top w:val="nil"/>
              <w:left w:val="nil"/>
              <w:bottom w:val="single" w:color="auto" w:sz="4" w:space="0"/>
              <w:right w:val="single" w:color="auto" w:sz="4" w:space="0"/>
            </w:tcBorders>
            <w:shd w:val="clear" w:color="000000" w:fill="FFFFFF"/>
            <w:vAlign w:val="center"/>
          </w:tcPr>
          <w:p>
            <w:pPr>
              <w:spacing w:line="180" w:lineRule="exact"/>
              <w:rPr>
                <w:rFonts w:ascii="宋体" w:hAnsi="宋体" w:eastAsia="宋体" w:cs="宋体"/>
                <w:sz w:val="18"/>
                <w:szCs w:val="18"/>
              </w:rPr>
            </w:pPr>
            <w:r>
              <w:rPr>
                <w:rFonts w:hint="eastAsia"/>
                <w:sz w:val="18"/>
                <w:szCs w:val="18"/>
              </w:rPr>
              <w:t>对外劳务合作</w:t>
            </w:r>
          </w:p>
        </w:tc>
      </w:tr>
      <w:tr>
        <w:tblPrEx>
          <w:tblCellMar>
            <w:top w:w="0" w:type="dxa"/>
            <w:left w:w="108" w:type="dxa"/>
            <w:bottom w:w="0" w:type="dxa"/>
            <w:right w:w="108" w:type="dxa"/>
          </w:tblCellMar>
        </w:tblPrEx>
        <w:trPr>
          <w:cantSplit/>
          <w:trHeight w:val="503" w:hRule="atLeast"/>
          <w:jc w:val="center"/>
        </w:trPr>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b/>
                <w:bCs/>
                <w:kern w:val="0"/>
                <w:sz w:val="18"/>
                <w:szCs w:val="18"/>
              </w:rPr>
            </w:pPr>
            <w:r>
              <w:rPr>
                <w:rFonts w:hint="eastAsia" w:ascii="宋体" w:hAnsi="宋体" w:eastAsia="宋体" w:cs="宋体"/>
                <w:b/>
                <w:bCs/>
                <w:kern w:val="0"/>
                <w:sz w:val="18"/>
                <w:szCs w:val="18"/>
              </w:rPr>
              <w:t>序号</w:t>
            </w:r>
          </w:p>
        </w:tc>
        <w:tc>
          <w:tcPr>
            <w:tcW w:w="1116"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b/>
                <w:bCs/>
                <w:kern w:val="0"/>
                <w:sz w:val="18"/>
                <w:szCs w:val="18"/>
              </w:rPr>
            </w:pPr>
            <w:r>
              <w:rPr>
                <w:rFonts w:hint="eastAsia" w:ascii="宋体" w:hAnsi="宋体" w:eastAsia="宋体" w:cs="宋体"/>
                <w:b/>
                <w:bCs/>
                <w:kern w:val="0"/>
                <w:sz w:val="18"/>
                <w:szCs w:val="18"/>
              </w:rPr>
              <w:t>项目名称</w:t>
            </w:r>
          </w:p>
        </w:tc>
        <w:tc>
          <w:tcPr>
            <w:tcW w:w="1673"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b/>
                <w:bCs/>
                <w:kern w:val="0"/>
                <w:sz w:val="18"/>
                <w:szCs w:val="18"/>
              </w:rPr>
            </w:pPr>
            <w:r>
              <w:rPr>
                <w:rFonts w:hint="eastAsia" w:ascii="宋体" w:hAnsi="宋体" w:eastAsia="宋体" w:cs="宋体"/>
                <w:b/>
                <w:bCs/>
                <w:kern w:val="0"/>
                <w:sz w:val="18"/>
                <w:szCs w:val="18"/>
              </w:rPr>
              <w:t>实施机关</w:t>
            </w:r>
          </w:p>
        </w:tc>
        <w:tc>
          <w:tcPr>
            <w:tcW w:w="5002"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b/>
                <w:bCs/>
                <w:kern w:val="0"/>
                <w:sz w:val="18"/>
                <w:szCs w:val="18"/>
              </w:rPr>
            </w:pPr>
            <w:r>
              <w:rPr>
                <w:rFonts w:hint="eastAsia" w:ascii="宋体" w:hAnsi="宋体" w:eastAsia="宋体" w:cs="宋体"/>
                <w:b/>
                <w:bCs/>
                <w:kern w:val="0"/>
                <w:sz w:val="18"/>
                <w:szCs w:val="18"/>
              </w:rPr>
              <w:t xml:space="preserve">设定依据                                                                                         </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180" w:lineRule="exact"/>
              <w:rPr>
                <w:rFonts w:ascii="宋体" w:hAnsi="宋体" w:eastAsia="宋体" w:cs="宋体"/>
                <w:sz w:val="18"/>
                <w:szCs w:val="18"/>
              </w:rPr>
            </w:pPr>
            <w:r>
              <w:rPr>
                <w:rFonts w:hint="eastAsia" w:ascii="宋体" w:hAnsi="宋体" w:eastAsia="宋体" w:cs="宋体"/>
                <w:b/>
                <w:bCs/>
                <w:kern w:val="0"/>
                <w:sz w:val="18"/>
                <w:szCs w:val="18"/>
              </w:rPr>
              <w:t>检索关键词</w:t>
            </w:r>
          </w:p>
        </w:tc>
      </w:tr>
      <w:tr>
        <w:tblPrEx>
          <w:tblCellMar>
            <w:top w:w="0" w:type="dxa"/>
            <w:left w:w="108" w:type="dxa"/>
            <w:bottom w:w="0" w:type="dxa"/>
            <w:right w:w="108" w:type="dxa"/>
          </w:tblCellMar>
        </w:tblPrEx>
        <w:trPr>
          <w:cantSplit/>
          <w:trHeight w:val="892" w:hRule="atLeast"/>
          <w:jc w:val="center"/>
        </w:trPr>
        <w:tc>
          <w:tcPr>
            <w:tcW w:w="756" w:type="dxa"/>
            <w:tcBorders>
              <w:top w:val="nil"/>
              <w:left w:val="single" w:color="auto" w:sz="4" w:space="0"/>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bCs/>
                <w:kern w:val="0"/>
                <w:sz w:val="18"/>
                <w:szCs w:val="18"/>
              </w:rPr>
            </w:pPr>
            <w:r>
              <w:rPr>
                <w:rFonts w:hint="eastAsia" w:ascii="宋体" w:hAnsi="宋体" w:eastAsia="宋体" w:cs="宋体"/>
                <w:bCs/>
                <w:kern w:val="0"/>
                <w:sz w:val="18"/>
                <w:szCs w:val="18"/>
              </w:rPr>
              <w:t>104</w:t>
            </w:r>
          </w:p>
        </w:tc>
        <w:tc>
          <w:tcPr>
            <w:tcW w:w="1116" w:type="dxa"/>
            <w:tcBorders>
              <w:top w:val="nil"/>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直销企业及其分支机构设立和变更审批</w:t>
            </w:r>
          </w:p>
        </w:tc>
        <w:tc>
          <w:tcPr>
            <w:tcW w:w="1673" w:type="dxa"/>
            <w:tcBorders>
              <w:top w:val="nil"/>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商务部</w:t>
            </w:r>
          </w:p>
        </w:tc>
        <w:tc>
          <w:tcPr>
            <w:tcW w:w="5002" w:type="dxa"/>
            <w:tcBorders>
              <w:top w:val="nil"/>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《直销管理条例》（国务院令第443号）</w:t>
            </w:r>
          </w:p>
        </w:tc>
        <w:tc>
          <w:tcPr>
            <w:tcW w:w="1261" w:type="dxa"/>
            <w:tcBorders>
              <w:top w:val="nil"/>
              <w:left w:val="nil"/>
              <w:bottom w:val="single" w:color="auto" w:sz="4" w:space="0"/>
              <w:right w:val="single" w:color="auto" w:sz="4" w:space="0"/>
            </w:tcBorders>
            <w:shd w:val="clear" w:color="000000" w:fill="FFFFFF"/>
            <w:vAlign w:val="center"/>
          </w:tcPr>
          <w:p>
            <w:pPr>
              <w:spacing w:line="180" w:lineRule="exact"/>
              <w:rPr>
                <w:sz w:val="18"/>
                <w:szCs w:val="18"/>
              </w:rPr>
            </w:pPr>
            <w:r>
              <w:rPr>
                <w:rFonts w:hint="eastAsia"/>
                <w:sz w:val="18"/>
                <w:szCs w:val="18"/>
              </w:rPr>
              <w:t>直销</w:t>
            </w:r>
          </w:p>
        </w:tc>
      </w:tr>
      <w:tr>
        <w:tblPrEx>
          <w:tblCellMar>
            <w:top w:w="0" w:type="dxa"/>
            <w:left w:w="108" w:type="dxa"/>
            <w:bottom w:w="0" w:type="dxa"/>
            <w:right w:w="108" w:type="dxa"/>
          </w:tblCellMar>
        </w:tblPrEx>
        <w:trPr>
          <w:cantSplit/>
          <w:trHeight w:val="646" w:hRule="atLeast"/>
          <w:jc w:val="center"/>
        </w:trPr>
        <w:tc>
          <w:tcPr>
            <w:tcW w:w="756" w:type="dxa"/>
            <w:tcBorders>
              <w:top w:val="nil"/>
              <w:left w:val="single" w:color="auto" w:sz="4" w:space="0"/>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bCs/>
                <w:kern w:val="0"/>
                <w:sz w:val="18"/>
                <w:szCs w:val="18"/>
              </w:rPr>
            </w:pPr>
            <w:r>
              <w:rPr>
                <w:rFonts w:hint="eastAsia" w:ascii="宋体" w:hAnsi="宋体" w:eastAsia="宋体" w:cs="宋体"/>
                <w:bCs/>
                <w:kern w:val="0"/>
                <w:sz w:val="18"/>
                <w:szCs w:val="18"/>
              </w:rPr>
              <w:t>105</w:t>
            </w:r>
          </w:p>
        </w:tc>
        <w:tc>
          <w:tcPr>
            <w:tcW w:w="1116" w:type="dxa"/>
            <w:tcBorders>
              <w:top w:val="nil"/>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拍卖企业设立许可</w:t>
            </w:r>
          </w:p>
        </w:tc>
        <w:tc>
          <w:tcPr>
            <w:tcW w:w="1673" w:type="dxa"/>
            <w:tcBorders>
              <w:top w:val="nil"/>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省商务厅</w:t>
            </w:r>
          </w:p>
        </w:tc>
        <w:tc>
          <w:tcPr>
            <w:tcW w:w="5002" w:type="dxa"/>
            <w:tcBorders>
              <w:top w:val="nil"/>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《拍卖法》</w:t>
            </w:r>
          </w:p>
        </w:tc>
        <w:tc>
          <w:tcPr>
            <w:tcW w:w="1261" w:type="dxa"/>
            <w:tcBorders>
              <w:top w:val="nil"/>
              <w:left w:val="nil"/>
              <w:bottom w:val="single" w:color="auto" w:sz="4" w:space="0"/>
              <w:right w:val="single" w:color="auto" w:sz="4" w:space="0"/>
            </w:tcBorders>
            <w:shd w:val="clear" w:color="000000" w:fill="FFFFFF"/>
            <w:vAlign w:val="center"/>
          </w:tcPr>
          <w:p>
            <w:pPr>
              <w:spacing w:line="180" w:lineRule="exact"/>
              <w:rPr>
                <w:sz w:val="18"/>
                <w:szCs w:val="18"/>
              </w:rPr>
            </w:pPr>
            <w:r>
              <w:rPr>
                <w:rFonts w:hint="eastAsia"/>
                <w:sz w:val="18"/>
                <w:szCs w:val="18"/>
              </w:rPr>
              <w:t>拍卖</w:t>
            </w:r>
          </w:p>
        </w:tc>
      </w:tr>
      <w:tr>
        <w:tblPrEx>
          <w:tblCellMar>
            <w:top w:w="0" w:type="dxa"/>
            <w:left w:w="108" w:type="dxa"/>
            <w:bottom w:w="0" w:type="dxa"/>
            <w:right w:w="108" w:type="dxa"/>
          </w:tblCellMar>
        </w:tblPrEx>
        <w:trPr>
          <w:cantSplit/>
          <w:trHeight w:val="693" w:hRule="atLeast"/>
          <w:jc w:val="center"/>
        </w:trPr>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bCs/>
                <w:kern w:val="0"/>
                <w:sz w:val="18"/>
                <w:szCs w:val="18"/>
              </w:rPr>
            </w:pPr>
            <w:r>
              <w:rPr>
                <w:rFonts w:hint="eastAsia" w:ascii="宋体" w:hAnsi="宋体" w:eastAsia="宋体" w:cs="宋体"/>
                <w:bCs/>
                <w:kern w:val="0"/>
                <w:sz w:val="18"/>
                <w:szCs w:val="18"/>
              </w:rPr>
              <w:t>106</w:t>
            </w:r>
          </w:p>
        </w:tc>
        <w:tc>
          <w:tcPr>
            <w:tcW w:w="1116"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设立典当行及分支机构审批</w:t>
            </w:r>
          </w:p>
        </w:tc>
        <w:tc>
          <w:tcPr>
            <w:tcW w:w="1673"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省金融监管局</w:t>
            </w:r>
          </w:p>
        </w:tc>
        <w:tc>
          <w:tcPr>
            <w:tcW w:w="5002"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《典当管理办法》</w:t>
            </w:r>
          </w:p>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《国务院</w:t>
            </w:r>
            <w:r>
              <w:rPr>
                <w:rFonts w:hint="eastAsia" w:ascii="宋体" w:hAnsi="宋体" w:eastAsia="宋体" w:cs="宋体"/>
                <w:bCs/>
                <w:kern w:val="0"/>
                <w:sz w:val="18"/>
                <w:szCs w:val="18"/>
              </w:rPr>
              <w:t>关于进一步消减工商登记前置审批事项的决定》（</w:t>
            </w:r>
            <w:r>
              <w:rPr>
                <w:rFonts w:hint="eastAsia" w:ascii="宋体" w:hAnsi="宋体" w:eastAsia="宋体" w:cs="宋体"/>
                <w:kern w:val="0"/>
                <w:sz w:val="18"/>
                <w:szCs w:val="18"/>
              </w:rPr>
              <w:t>国发〔2017〕32号）</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180" w:lineRule="exact"/>
              <w:rPr>
                <w:sz w:val="18"/>
                <w:szCs w:val="18"/>
              </w:rPr>
            </w:pPr>
            <w:r>
              <w:rPr>
                <w:rFonts w:hint="eastAsia"/>
                <w:sz w:val="18"/>
                <w:szCs w:val="18"/>
              </w:rPr>
              <w:t>典当</w:t>
            </w:r>
          </w:p>
        </w:tc>
      </w:tr>
      <w:tr>
        <w:tblPrEx>
          <w:tblCellMar>
            <w:top w:w="0" w:type="dxa"/>
            <w:left w:w="108" w:type="dxa"/>
            <w:bottom w:w="0" w:type="dxa"/>
            <w:right w:w="108" w:type="dxa"/>
          </w:tblCellMar>
        </w:tblPrEx>
        <w:trPr>
          <w:cantSplit/>
          <w:trHeight w:val="1128" w:hRule="atLeast"/>
          <w:jc w:val="center"/>
        </w:trPr>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bCs/>
                <w:kern w:val="0"/>
                <w:sz w:val="18"/>
                <w:szCs w:val="18"/>
              </w:rPr>
            </w:pPr>
            <w:r>
              <w:rPr>
                <w:rFonts w:hint="eastAsia" w:ascii="宋体" w:hAnsi="宋体" w:eastAsia="宋体" w:cs="宋体"/>
                <w:bCs/>
                <w:kern w:val="0"/>
                <w:sz w:val="18"/>
                <w:szCs w:val="18"/>
              </w:rPr>
              <w:t>107</w:t>
            </w:r>
          </w:p>
        </w:tc>
        <w:tc>
          <w:tcPr>
            <w:tcW w:w="1116"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演出经纪机构设立审批</w:t>
            </w:r>
          </w:p>
        </w:tc>
        <w:tc>
          <w:tcPr>
            <w:tcW w:w="1673"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文化和旅游部、省文化和旅游厅</w:t>
            </w:r>
          </w:p>
        </w:tc>
        <w:tc>
          <w:tcPr>
            <w:tcW w:w="5002"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《营业性演出管理条例》（国务院令第528号）</w:t>
            </w:r>
          </w:p>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《营业性演出管理条例实施细则》（文化部令第47号）</w:t>
            </w:r>
          </w:p>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《国务院关于取消和下放一批行政审批项目的决定》（国发〔2013〕44号）</w:t>
            </w:r>
          </w:p>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《国务院关于取消和调整一批行政审批项目等事项的决定》（国发〔2014〕27号）</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180" w:lineRule="exact"/>
              <w:rPr>
                <w:rFonts w:ascii="宋体" w:hAnsi="宋体" w:eastAsia="宋体" w:cs="宋体"/>
                <w:sz w:val="18"/>
                <w:szCs w:val="18"/>
              </w:rPr>
            </w:pPr>
            <w:r>
              <w:rPr>
                <w:rFonts w:hint="eastAsia"/>
                <w:sz w:val="18"/>
                <w:szCs w:val="18"/>
              </w:rPr>
              <w:t>演出经纪</w:t>
            </w:r>
          </w:p>
        </w:tc>
      </w:tr>
      <w:tr>
        <w:tblPrEx>
          <w:tblCellMar>
            <w:top w:w="0" w:type="dxa"/>
            <w:left w:w="108" w:type="dxa"/>
            <w:bottom w:w="0" w:type="dxa"/>
            <w:right w:w="108" w:type="dxa"/>
          </w:tblCellMar>
        </w:tblPrEx>
        <w:trPr>
          <w:cantSplit/>
          <w:trHeight w:val="1541" w:hRule="atLeast"/>
          <w:jc w:val="center"/>
        </w:trPr>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kern w:val="0"/>
                <w:sz w:val="18"/>
                <w:szCs w:val="18"/>
              </w:rPr>
            </w:pPr>
            <w:r>
              <w:rPr>
                <w:rFonts w:hint="eastAsia" w:ascii="宋体" w:hAnsi="宋体" w:eastAsia="宋体" w:cs="宋体"/>
                <w:bCs/>
                <w:kern w:val="0"/>
                <w:sz w:val="18"/>
                <w:szCs w:val="18"/>
              </w:rPr>
              <w:t>108</w:t>
            </w:r>
          </w:p>
        </w:tc>
        <w:tc>
          <w:tcPr>
            <w:tcW w:w="1116"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文艺表演团体设立审批</w:t>
            </w:r>
          </w:p>
        </w:tc>
        <w:tc>
          <w:tcPr>
            <w:tcW w:w="1673"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县（市、区）文化部门</w:t>
            </w:r>
          </w:p>
        </w:tc>
        <w:tc>
          <w:tcPr>
            <w:tcW w:w="5002"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《营业性演出管理条例》（国务院令第528号）</w:t>
            </w:r>
          </w:p>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《营业性演出管理条例实施细则》（文化部令第47号）</w:t>
            </w:r>
          </w:p>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《&lt;内地与香港关于建立更紧密经贸关系的安排&gt;补充协议九》《&lt;内地与澳门关于建立更紧密经贸关系的安排&gt;补充协议九》《国务院关于取消和调整一批行政审批项目等事项的决定》（国发〔2014〕27号）</w:t>
            </w:r>
          </w:p>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《国务院关于取消和调整一批行政审批项目等事项的决定》（国发〔2014〕50号）</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180" w:lineRule="exact"/>
              <w:rPr>
                <w:rFonts w:ascii="宋体" w:hAnsi="宋体" w:eastAsia="宋体" w:cs="宋体"/>
                <w:sz w:val="18"/>
                <w:szCs w:val="18"/>
              </w:rPr>
            </w:pPr>
            <w:r>
              <w:rPr>
                <w:rFonts w:hint="eastAsia"/>
                <w:sz w:val="18"/>
                <w:szCs w:val="18"/>
              </w:rPr>
              <w:t>文艺表演、演出</w:t>
            </w:r>
          </w:p>
        </w:tc>
      </w:tr>
      <w:tr>
        <w:tblPrEx>
          <w:tblCellMar>
            <w:top w:w="0" w:type="dxa"/>
            <w:left w:w="108" w:type="dxa"/>
            <w:bottom w:w="0" w:type="dxa"/>
            <w:right w:w="108" w:type="dxa"/>
          </w:tblCellMar>
        </w:tblPrEx>
        <w:trPr>
          <w:cantSplit/>
          <w:trHeight w:val="1277" w:hRule="atLeast"/>
          <w:jc w:val="center"/>
        </w:trPr>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kern w:val="0"/>
                <w:sz w:val="18"/>
                <w:szCs w:val="18"/>
              </w:rPr>
            </w:pPr>
            <w:r>
              <w:rPr>
                <w:rFonts w:hint="eastAsia" w:ascii="宋体" w:hAnsi="宋体" w:eastAsia="宋体" w:cs="宋体"/>
                <w:kern w:val="0"/>
                <w:sz w:val="18"/>
                <w:szCs w:val="18"/>
              </w:rPr>
              <w:t>109</w:t>
            </w:r>
          </w:p>
        </w:tc>
        <w:tc>
          <w:tcPr>
            <w:tcW w:w="1116"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设立经营性互联网文化单位审批</w:t>
            </w:r>
          </w:p>
        </w:tc>
        <w:tc>
          <w:tcPr>
            <w:tcW w:w="1673"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省文化和旅游厅</w:t>
            </w:r>
          </w:p>
        </w:tc>
        <w:tc>
          <w:tcPr>
            <w:tcW w:w="5002"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《国务院对确需保留的行政审批项目设定行政许可的决定》（国务院令第412号）</w:t>
            </w:r>
          </w:p>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《国务院关于第五批取消和下放管理层级行政审批项目的决定》（国发〔2010〕21号）</w:t>
            </w:r>
          </w:p>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《国务院关于取消和调整一批行政审批项目等事项的决定》（国发〔2014〕50号）</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180" w:lineRule="exact"/>
              <w:rPr>
                <w:rFonts w:ascii="宋体" w:hAnsi="宋体" w:eastAsia="宋体" w:cs="宋体"/>
                <w:sz w:val="18"/>
                <w:szCs w:val="18"/>
              </w:rPr>
            </w:pPr>
            <w:r>
              <w:rPr>
                <w:rFonts w:hint="eastAsia"/>
                <w:sz w:val="18"/>
                <w:szCs w:val="18"/>
              </w:rPr>
              <w:t>互联网</w:t>
            </w:r>
          </w:p>
        </w:tc>
      </w:tr>
      <w:tr>
        <w:tblPrEx>
          <w:tblCellMar>
            <w:top w:w="0" w:type="dxa"/>
            <w:left w:w="108" w:type="dxa"/>
            <w:bottom w:w="0" w:type="dxa"/>
            <w:right w:w="108" w:type="dxa"/>
          </w:tblCellMar>
        </w:tblPrEx>
        <w:trPr>
          <w:cantSplit/>
          <w:trHeight w:val="830" w:hRule="atLeast"/>
          <w:jc w:val="center"/>
        </w:trPr>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bCs/>
                <w:kern w:val="0"/>
                <w:sz w:val="18"/>
                <w:szCs w:val="18"/>
              </w:rPr>
            </w:pPr>
            <w:r>
              <w:rPr>
                <w:rFonts w:hint="eastAsia" w:ascii="宋体" w:hAnsi="宋体" w:eastAsia="宋体" w:cs="宋体"/>
                <w:kern w:val="0"/>
                <w:sz w:val="18"/>
                <w:szCs w:val="18"/>
              </w:rPr>
              <w:t>110</w:t>
            </w:r>
          </w:p>
        </w:tc>
        <w:tc>
          <w:tcPr>
            <w:tcW w:w="1116"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文物商店设立审批</w:t>
            </w:r>
          </w:p>
        </w:tc>
        <w:tc>
          <w:tcPr>
            <w:tcW w:w="1673"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省文化和旅游厅</w:t>
            </w:r>
          </w:p>
        </w:tc>
        <w:tc>
          <w:tcPr>
            <w:tcW w:w="5002"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《文物保护法》</w:t>
            </w:r>
          </w:p>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《文物保护法实施条例》（国务院令第377号）</w:t>
            </w:r>
          </w:p>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《国务院关于第四批取消和调整行政审批项目的决定》（国发〔2007〕33号）</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180" w:lineRule="exact"/>
              <w:rPr>
                <w:rFonts w:ascii="宋体" w:hAnsi="宋体" w:eastAsia="宋体" w:cs="宋体"/>
                <w:sz w:val="18"/>
                <w:szCs w:val="18"/>
              </w:rPr>
            </w:pPr>
            <w:r>
              <w:rPr>
                <w:rFonts w:hint="eastAsia"/>
                <w:sz w:val="18"/>
                <w:szCs w:val="18"/>
              </w:rPr>
              <w:t>文物</w:t>
            </w:r>
          </w:p>
        </w:tc>
      </w:tr>
      <w:tr>
        <w:tblPrEx>
          <w:tblCellMar>
            <w:top w:w="0" w:type="dxa"/>
            <w:left w:w="108" w:type="dxa"/>
            <w:bottom w:w="0" w:type="dxa"/>
            <w:right w:w="108" w:type="dxa"/>
          </w:tblCellMar>
        </w:tblPrEx>
        <w:trPr>
          <w:cantSplit/>
          <w:trHeight w:val="842" w:hRule="atLeast"/>
          <w:jc w:val="center"/>
        </w:trPr>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bCs/>
                <w:kern w:val="0"/>
                <w:sz w:val="18"/>
                <w:szCs w:val="18"/>
              </w:rPr>
            </w:pPr>
            <w:r>
              <w:rPr>
                <w:rFonts w:hint="eastAsia" w:ascii="宋体" w:hAnsi="宋体" w:eastAsia="宋体" w:cs="宋体"/>
                <w:bCs/>
                <w:kern w:val="0"/>
                <w:sz w:val="18"/>
                <w:szCs w:val="18"/>
              </w:rPr>
              <w:t>111</w:t>
            </w:r>
          </w:p>
        </w:tc>
        <w:tc>
          <w:tcPr>
            <w:tcW w:w="1116"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从事娱乐场所经营活动审批</w:t>
            </w:r>
          </w:p>
        </w:tc>
        <w:tc>
          <w:tcPr>
            <w:tcW w:w="1673"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设区市、县（市、区）文化部门，设区市、县（市、区）应急管理部门</w:t>
            </w:r>
          </w:p>
        </w:tc>
        <w:tc>
          <w:tcPr>
            <w:tcW w:w="5002"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《娱乐场所管理条例》（国务院令第458号）</w:t>
            </w:r>
          </w:p>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《娱乐场所管理办法》（文化部令第55号）</w:t>
            </w:r>
          </w:p>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《国务院关于取消和调整一批行政审批项目等事项的决定》（国发〔2014〕27号）</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180" w:lineRule="exact"/>
              <w:rPr>
                <w:rFonts w:ascii="宋体" w:hAnsi="宋体" w:eastAsia="宋体" w:cs="宋体"/>
                <w:sz w:val="18"/>
                <w:szCs w:val="18"/>
              </w:rPr>
            </w:pPr>
            <w:r>
              <w:rPr>
                <w:rFonts w:hint="eastAsia"/>
                <w:sz w:val="18"/>
                <w:szCs w:val="18"/>
              </w:rPr>
              <w:t>娱乐、歌舞、游艺</w:t>
            </w:r>
          </w:p>
        </w:tc>
      </w:tr>
      <w:tr>
        <w:tblPrEx>
          <w:tblCellMar>
            <w:top w:w="0" w:type="dxa"/>
            <w:left w:w="108" w:type="dxa"/>
            <w:bottom w:w="0" w:type="dxa"/>
            <w:right w:w="108" w:type="dxa"/>
          </w:tblCellMar>
        </w:tblPrEx>
        <w:trPr>
          <w:cantSplit/>
          <w:trHeight w:val="826" w:hRule="atLeast"/>
          <w:jc w:val="center"/>
        </w:trPr>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b/>
                <w:bCs/>
                <w:kern w:val="0"/>
                <w:sz w:val="18"/>
                <w:szCs w:val="18"/>
              </w:rPr>
            </w:pPr>
            <w:r>
              <w:rPr>
                <w:rFonts w:hint="eastAsia" w:ascii="宋体" w:hAnsi="宋体" w:eastAsia="宋体" w:cs="宋体"/>
                <w:bCs/>
                <w:kern w:val="0"/>
                <w:sz w:val="18"/>
                <w:szCs w:val="18"/>
              </w:rPr>
              <w:t>112</w:t>
            </w:r>
          </w:p>
        </w:tc>
        <w:tc>
          <w:tcPr>
            <w:tcW w:w="1116"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拍卖企业经营文物拍卖许可及拍卖标的审核</w:t>
            </w:r>
          </w:p>
        </w:tc>
        <w:tc>
          <w:tcPr>
            <w:tcW w:w="1673"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省文化和旅游厅</w:t>
            </w:r>
          </w:p>
        </w:tc>
        <w:tc>
          <w:tcPr>
            <w:tcW w:w="5002"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《文物保护法》</w:t>
            </w:r>
          </w:p>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《文物保护法实施条例》（国务院令第377号）</w:t>
            </w:r>
          </w:p>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《国务院关于取消和调整一批行政审批项目等事项的决定》（国发〔2014〕50号）</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180" w:lineRule="exact"/>
              <w:rPr>
                <w:rFonts w:ascii="宋体" w:hAnsi="宋体" w:eastAsia="宋体" w:cs="宋体"/>
                <w:sz w:val="18"/>
                <w:szCs w:val="18"/>
              </w:rPr>
            </w:pPr>
            <w:r>
              <w:rPr>
                <w:rFonts w:hint="eastAsia"/>
                <w:sz w:val="18"/>
                <w:szCs w:val="18"/>
              </w:rPr>
              <w:t>文物拍卖</w:t>
            </w:r>
          </w:p>
        </w:tc>
      </w:tr>
      <w:tr>
        <w:tblPrEx>
          <w:tblCellMar>
            <w:top w:w="0" w:type="dxa"/>
            <w:left w:w="108" w:type="dxa"/>
            <w:bottom w:w="0" w:type="dxa"/>
            <w:right w:w="108" w:type="dxa"/>
          </w:tblCellMar>
        </w:tblPrEx>
        <w:trPr>
          <w:cantSplit/>
          <w:trHeight w:val="710" w:hRule="atLeast"/>
          <w:jc w:val="center"/>
        </w:trPr>
        <w:tc>
          <w:tcPr>
            <w:tcW w:w="756" w:type="dxa"/>
            <w:tcBorders>
              <w:top w:val="nil"/>
              <w:left w:val="single" w:color="auto" w:sz="4" w:space="0"/>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kern w:val="0"/>
                <w:sz w:val="18"/>
                <w:szCs w:val="18"/>
              </w:rPr>
            </w:pPr>
            <w:r>
              <w:rPr>
                <w:rFonts w:hint="eastAsia" w:ascii="宋体" w:hAnsi="宋体" w:eastAsia="宋体" w:cs="宋体"/>
                <w:kern w:val="0"/>
                <w:sz w:val="18"/>
                <w:szCs w:val="18"/>
              </w:rPr>
              <w:t>113</w:t>
            </w:r>
          </w:p>
        </w:tc>
        <w:tc>
          <w:tcPr>
            <w:tcW w:w="1116" w:type="dxa"/>
            <w:tcBorders>
              <w:top w:val="nil"/>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从事互联网上网服务经营活动审批</w:t>
            </w:r>
          </w:p>
        </w:tc>
        <w:tc>
          <w:tcPr>
            <w:tcW w:w="1673" w:type="dxa"/>
            <w:tcBorders>
              <w:top w:val="nil"/>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县（市、区）文化部门，设区市、县（市、区）公安部门</w:t>
            </w:r>
          </w:p>
        </w:tc>
        <w:tc>
          <w:tcPr>
            <w:tcW w:w="5002" w:type="dxa"/>
            <w:tcBorders>
              <w:top w:val="nil"/>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《互联网上网服务营业场所管理条例》（国务院令第363号）</w:t>
            </w:r>
          </w:p>
        </w:tc>
        <w:tc>
          <w:tcPr>
            <w:tcW w:w="1261" w:type="dxa"/>
            <w:tcBorders>
              <w:top w:val="nil"/>
              <w:left w:val="nil"/>
              <w:bottom w:val="single" w:color="auto" w:sz="4" w:space="0"/>
              <w:right w:val="single" w:color="auto" w:sz="4" w:space="0"/>
            </w:tcBorders>
            <w:shd w:val="clear" w:color="000000" w:fill="FFFFFF"/>
            <w:vAlign w:val="center"/>
          </w:tcPr>
          <w:p>
            <w:pPr>
              <w:spacing w:line="180" w:lineRule="exact"/>
              <w:rPr>
                <w:rFonts w:ascii="宋体" w:hAnsi="宋体" w:eastAsia="宋体" w:cs="宋体"/>
                <w:sz w:val="18"/>
                <w:szCs w:val="18"/>
              </w:rPr>
            </w:pPr>
            <w:r>
              <w:rPr>
                <w:rFonts w:hint="eastAsia"/>
                <w:sz w:val="18"/>
                <w:szCs w:val="18"/>
              </w:rPr>
              <w:t>互联网上网</w:t>
            </w:r>
          </w:p>
        </w:tc>
      </w:tr>
      <w:tr>
        <w:tblPrEx>
          <w:tblCellMar>
            <w:top w:w="0" w:type="dxa"/>
            <w:left w:w="108" w:type="dxa"/>
            <w:bottom w:w="0" w:type="dxa"/>
            <w:right w:w="108" w:type="dxa"/>
          </w:tblCellMar>
        </w:tblPrEx>
        <w:trPr>
          <w:cantSplit/>
          <w:trHeight w:val="840" w:hRule="atLeast"/>
          <w:jc w:val="center"/>
        </w:trPr>
        <w:tc>
          <w:tcPr>
            <w:tcW w:w="756" w:type="dxa"/>
            <w:tcBorders>
              <w:top w:val="nil"/>
              <w:left w:val="single" w:color="auto" w:sz="4" w:space="0"/>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bCs/>
                <w:kern w:val="0"/>
                <w:sz w:val="18"/>
                <w:szCs w:val="18"/>
              </w:rPr>
            </w:pPr>
            <w:r>
              <w:rPr>
                <w:rFonts w:hint="eastAsia" w:ascii="宋体" w:hAnsi="宋体" w:eastAsia="宋体" w:cs="宋体"/>
                <w:kern w:val="0"/>
                <w:sz w:val="18"/>
                <w:szCs w:val="18"/>
              </w:rPr>
              <w:t>114</w:t>
            </w:r>
          </w:p>
        </w:tc>
        <w:tc>
          <w:tcPr>
            <w:tcW w:w="1116" w:type="dxa"/>
            <w:tcBorders>
              <w:top w:val="nil"/>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港、澳服务提供者在内地设立互联网上网服务营业场所审批</w:t>
            </w:r>
          </w:p>
        </w:tc>
        <w:tc>
          <w:tcPr>
            <w:tcW w:w="1673" w:type="dxa"/>
            <w:tcBorders>
              <w:top w:val="nil"/>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县（市、区）文化部门</w:t>
            </w:r>
          </w:p>
        </w:tc>
        <w:tc>
          <w:tcPr>
            <w:tcW w:w="5002" w:type="dxa"/>
            <w:tcBorders>
              <w:top w:val="nil"/>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《互联网上网服务营业场所管理条例》（国务院令第363号）</w:t>
            </w:r>
          </w:p>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《&lt;内地与香港关于建立更紧密经贸关系的安排&gt;补充协议九》</w:t>
            </w:r>
          </w:p>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《&lt;内地与澳门关于建立更紧密经贸关系的安排&gt;补充协议九》</w:t>
            </w:r>
          </w:p>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《国务院关于取消和调整一批行政审批项目等事项的决定》（国发〔2014〕50号）</w:t>
            </w:r>
          </w:p>
        </w:tc>
        <w:tc>
          <w:tcPr>
            <w:tcW w:w="1261" w:type="dxa"/>
            <w:tcBorders>
              <w:top w:val="nil"/>
              <w:left w:val="nil"/>
              <w:bottom w:val="single" w:color="auto" w:sz="4" w:space="0"/>
              <w:right w:val="single" w:color="auto" w:sz="4" w:space="0"/>
            </w:tcBorders>
            <w:shd w:val="clear" w:color="000000" w:fill="FFFFFF"/>
            <w:vAlign w:val="center"/>
          </w:tcPr>
          <w:p>
            <w:pPr>
              <w:spacing w:line="180" w:lineRule="exact"/>
              <w:rPr>
                <w:rFonts w:ascii="宋体" w:hAnsi="宋体" w:eastAsia="宋体" w:cs="宋体"/>
                <w:sz w:val="18"/>
                <w:szCs w:val="18"/>
              </w:rPr>
            </w:pPr>
            <w:r>
              <w:rPr>
                <w:rFonts w:hint="eastAsia"/>
                <w:sz w:val="18"/>
                <w:szCs w:val="18"/>
              </w:rPr>
              <w:t>互联网上网</w:t>
            </w:r>
          </w:p>
        </w:tc>
      </w:tr>
      <w:tr>
        <w:tblPrEx>
          <w:tblCellMar>
            <w:top w:w="0" w:type="dxa"/>
            <w:left w:w="108" w:type="dxa"/>
            <w:bottom w:w="0" w:type="dxa"/>
            <w:right w:w="108" w:type="dxa"/>
          </w:tblCellMar>
        </w:tblPrEx>
        <w:trPr>
          <w:cantSplit/>
          <w:trHeight w:val="594" w:hRule="atLeast"/>
          <w:jc w:val="center"/>
        </w:trPr>
        <w:tc>
          <w:tcPr>
            <w:tcW w:w="756" w:type="dxa"/>
            <w:tcBorders>
              <w:top w:val="nil"/>
              <w:left w:val="single" w:color="auto" w:sz="4" w:space="0"/>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bCs/>
                <w:kern w:val="0"/>
                <w:sz w:val="18"/>
                <w:szCs w:val="18"/>
              </w:rPr>
            </w:pPr>
            <w:r>
              <w:rPr>
                <w:rFonts w:hint="eastAsia" w:ascii="宋体" w:hAnsi="宋体" w:eastAsia="宋体" w:cs="宋体"/>
                <w:bCs/>
                <w:kern w:val="0"/>
                <w:sz w:val="18"/>
                <w:szCs w:val="18"/>
              </w:rPr>
              <w:t>115</w:t>
            </w:r>
          </w:p>
        </w:tc>
        <w:tc>
          <w:tcPr>
            <w:tcW w:w="1116" w:type="dxa"/>
            <w:tcBorders>
              <w:top w:val="nil"/>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旅行社业务经营许可证核发</w:t>
            </w:r>
          </w:p>
        </w:tc>
        <w:tc>
          <w:tcPr>
            <w:tcW w:w="1673" w:type="dxa"/>
            <w:tcBorders>
              <w:top w:val="nil"/>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设区市文化和旅游部门</w:t>
            </w:r>
          </w:p>
        </w:tc>
        <w:tc>
          <w:tcPr>
            <w:tcW w:w="5002" w:type="dxa"/>
            <w:tcBorders>
              <w:top w:val="nil"/>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《旅行社条例》（国务院令第550号)</w:t>
            </w:r>
          </w:p>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《国务院关于取消和调整一批行政审批项目等事项的决定》（国发〔2014〕27号）</w:t>
            </w:r>
          </w:p>
        </w:tc>
        <w:tc>
          <w:tcPr>
            <w:tcW w:w="1261" w:type="dxa"/>
            <w:tcBorders>
              <w:top w:val="nil"/>
              <w:left w:val="nil"/>
              <w:bottom w:val="single" w:color="auto" w:sz="4" w:space="0"/>
              <w:right w:val="single" w:color="auto" w:sz="4" w:space="0"/>
            </w:tcBorders>
            <w:shd w:val="clear" w:color="000000" w:fill="FFFFFF"/>
            <w:vAlign w:val="center"/>
          </w:tcPr>
          <w:p>
            <w:pPr>
              <w:spacing w:line="180" w:lineRule="exact"/>
              <w:rPr>
                <w:rFonts w:ascii="宋体" w:hAnsi="宋体" w:eastAsia="宋体" w:cs="宋体"/>
                <w:sz w:val="18"/>
                <w:szCs w:val="18"/>
              </w:rPr>
            </w:pPr>
            <w:r>
              <w:rPr>
                <w:rFonts w:hint="eastAsia"/>
                <w:sz w:val="18"/>
                <w:szCs w:val="18"/>
              </w:rPr>
              <w:t>旅游、旅行社</w:t>
            </w:r>
          </w:p>
        </w:tc>
      </w:tr>
      <w:tr>
        <w:tblPrEx>
          <w:tblCellMar>
            <w:top w:w="0" w:type="dxa"/>
            <w:left w:w="108" w:type="dxa"/>
            <w:bottom w:w="0" w:type="dxa"/>
            <w:right w:w="108" w:type="dxa"/>
          </w:tblCellMar>
        </w:tblPrEx>
        <w:trPr>
          <w:cantSplit/>
          <w:trHeight w:val="790" w:hRule="atLeast"/>
          <w:jc w:val="center"/>
        </w:trPr>
        <w:tc>
          <w:tcPr>
            <w:tcW w:w="756" w:type="dxa"/>
            <w:tcBorders>
              <w:top w:val="nil"/>
              <w:left w:val="single" w:color="auto" w:sz="4" w:space="0"/>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bCs/>
                <w:kern w:val="0"/>
                <w:sz w:val="18"/>
                <w:szCs w:val="18"/>
              </w:rPr>
            </w:pPr>
            <w:r>
              <w:rPr>
                <w:rFonts w:hint="eastAsia" w:ascii="宋体" w:hAnsi="宋体" w:eastAsia="宋体" w:cs="宋体"/>
                <w:bCs/>
                <w:kern w:val="0"/>
                <w:sz w:val="18"/>
                <w:szCs w:val="18"/>
              </w:rPr>
              <w:t>116</w:t>
            </w:r>
          </w:p>
        </w:tc>
        <w:tc>
          <w:tcPr>
            <w:tcW w:w="1116" w:type="dxa"/>
            <w:tcBorders>
              <w:top w:val="nil"/>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旅行社经营出境旅游业务资格审批</w:t>
            </w:r>
          </w:p>
        </w:tc>
        <w:tc>
          <w:tcPr>
            <w:tcW w:w="1673" w:type="dxa"/>
            <w:tcBorders>
              <w:top w:val="nil"/>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国家文化和旅游部</w:t>
            </w:r>
          </w:p>
        </w:tc>
        <w:tc>
          <w:tcPr>
            <w:tcW w:w="5002" w:type="dxa"/>
            <w:tcBorders>
              <w:top w:val="nil"/>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《旅行社条例》（国务院令第550号)</w:t>
            </w:r>
          </w:p>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《国务院关于取消和调整一批行政审批项目等事项的决定》（国发〔2014〕27号）</w:t>
            </w:r>
          </w:p>
        </w:tc>
        <w:tc>
          <w:tcPr>
            <w:tcW w:w="1261" w:type="dxa"/>
            <w:tcBorders>
              <w:top w:val="nil"/>
              <w:left w:val="nil"/>
              <w:bottom w:val="single" w:color="auto" w:sz="4" w:space="0"/>
              <w:right w:val="single" w:color="auto" w:sz="4" w:space="0"/>
            </w:tcBorders>
            <w:shd w:val="clear" w:color="000000" w:fill="FFFFFF"/>
            <w:vAlign w:val="center"/>
          </w:tcPr>
          <w:p>
            <w:pPr>
              <w:spacing w:line="180" w:lineRule="exact"/>
              <w:rPr>
                <w:rFonts w:ascii="宋体" w:hAnsi="宋体" w:eastAsia="宋体" w:cs="宋体"/>
                <w:sz w:val="18"/>
                <w:szCs w:val="18"/>
              </w:rPr>
            </w:pPr>
            <w:r>
              <w:rPr>
                <w:rFonts w:hint="eastAsia"/>
                <w:sz w:val="18"/>
                <w:szCs w:val="18"/>
              </w:rPr>
              <w:t>出境旅游</w:t>
            </w:r>
          </w:p>
        </w:tc>
      </w:tr>
      <w:tr>
        <w:tblPrEx>
          <w:tblCellMar>
            <w:top w:w="0" w:type="dxa"/>
            <w:left w:w="108" w:type="dxa"/>
            <w:bottom w:w="0" w:type="dxa"/>
            <w:right w:w="108" w:type="dxa"/>
          </w:tblCellMar>
        </w:tblPrEx>
        <w:trPr>
          <w:cantSplit/>
          <w:trHeight w:val="503" w:hRule="atLeast"/>
          <w:jc w:val="center"/>
        </w:trPr>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b/>
                <w:bCs/>
                <w:kern w:val="0"/>
                <w:sz w:val="18"/>
                <w:szCs w:val="18"/>
              </w:rPr>
            </w:pPr>
            <w:r>
              <w:rPr>
                <w:rFonts w:hint="eastAsia" w:ascii="宋体" w:hAnsi="宋体" w:eastAsia="宋体" w:cs="宋体"/>
                <w:b/>
                <w:bCs/>
                <w:kern w:val="0"/>
                <w:sz w:val="18"/>
                <w:szCs w:val="18"/>
              </w:rPr>
              <w:t>序号</w:t>
            </w:r>
          </w:p>
        </w:tc>
        <w:tc>
          <w:tcPr>
            <w:tcW w:w="1116"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b/>
                <w:bCs/>
                <w:kern w:val="0"/>
                <w:sz w:val="18"/>
                <w:szCs w:val="18"/>
              </w:rPr>
            </w:pPr>
            <w:r>
              <w:rPr>
                <w:rFonts w:hint="eastAsia" w:ascii="宋体" w:hAnsi="宋体" w:eastAsia="宋体" w:cs="宋体"/>
                <w:b/>
                <w:bCs/>
                <w:kern w:val="0"/>
                <w:sz w:val="18"/>
                <w:szCs w:val="18"/>
              </w:rPr>
              <w:t>项目名称</w:t>
            </w:r>
          </w:p>
        </w:tc>
        <w:tc>
          <w:tcPr>
            <w:tcW w:w="1673"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b/>
                <w:bCs/>
                <w:kern w:val="0"/>
                <w:sz w:val="18"/>
                <w:szCs w:val="18"/>
              </w:rPr>
            </w:pPr>
            <w:r>
              <w:rPr>
                <w:rFonts w:hint="eastAsia" w:ascii="宋体" w:hAnsi="宋体" w:eastAsia="宋体" w:cs="宋体"/>
                <w:b/>
                <w:bCs/>
                <w:kern w:val="0"/>
                <w:sz w:val="18"/>
                <w:szCs w:val="18"/>
              </w:rPr>
              <w:t>实施机关</w:t>
            </w:r>
          </w:p>
        </w:tc>
        <w:tc>
          <w:tcPr>
            <w:tcW w:w="5002"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b/>
                <w:bCs/>
                <w:kern w:val="0"/>
                <w:sz w:val="18"/>
                <w:szCs w:val="18"/>
              </w:rPr>
            </w:pPr>
            <w:r>
              <w:rPr>
                <w:rFonts w:hint="eastAsia" w:ascii="宋体" w:hAnsi="宋体" w:eastAsia="宋体" w:cs="宋体"/>
                <w:b/>
                <w:bCs/>
                <w:kern w:val="0"/>
                <w:sz w:val="18"/>
                <w:szCs w:val="18"/>
              </w:rPr>
              <w:t xml:space="preserve">设定依据                                                                                         </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180" w:lineRule="exact"/>
              <w:rPr>
                <w:rFonts w:ascii="宋体" w:hAnsi="宋体" w:eastAsia="宋体" w:cs="宋体"/>
                <w:sz w:val="18"/>
                <w:szCs w:val="18"/>
              </w:rPr>
            </w:pPr>
            <w:r>
              <w:rPr>
                <w:rFonts w:hint="eastAsia" w:ascii="宋体" w:hAnsi="宋体" w:eastAsia="宋体" w:cs="宋体"/>
                <w:b/>
                <w:bCs/>
                <w:kern w:val="0"/>
                <w:sz w:val="18"/>
                <w:szCs w:val="18"/>
              </w:rPr>
              <w:t>检索关键词</w:t>
            </w:r>
          </w:p>
        </w:tc>
      </w:tr>
      <w:tr>
        <w:tblPrEx>
          <w:tblCellMar>
            <w:top w:w="0" w:type="dxa"/>
            <w:left w:w="108" w:type="dxa"/>
            <w:bottom w:w="0" w:type="dxa"/>
            <w:right w:w="108" w:type="dxa"/>
          </w:tblCellMar>
        </w:tblPrEx>
        <w:trPr>
          <w:cantSplit/>
          <w:trHeight w:val="790" w:hRule="atLeast"/>
          <w:jc w:val="center"/>
        </w:trPr>
        <w:tc>
          <w:tcPr>
            <w:tcW w:w="756" w:type="dxa"/>
            <w:tcBorders>
              <w:top w:val="nil"/>
              <w:left w:val="single" w:color="auto" w:sz="4" w:space="0"/>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kern w:val="0"/>
                <w:sz w:val="18"/>
                <w:szCs w:val="18"/>
              </w:rPr>
            </w:pPr>
            <w:r>
              <w:rPr>
                <w:rFonts w:hint="eastAsia" w:ascii="宋体" w:hAnsi="宋体" w:eastAsia="宋体" w:cs="宋体"/>
                <w:kern w:val="0"/>
                <w:sz w:val="18"/>
                <w:szCs w:val="18"/>
              </w:rPr>
              <w:t>117</w:t>
            </w:r>
          </w:p>
        </w:tc>
        <w:tc>
          <w:tcPr>
            <w:tcW w:w="1116" w:type="dxa"/>
            <w:tcBorders>
              <w:top w:val="nil"/>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旅行社经营边境游资格审批</w:t>
            </w:r>
          </w:p>
        </w:tc>
        <w:tc>
          <w:tcPr>
            <w:tcW w:w="1673" w:type="dxa"/>
            <w:tcBorders>
              <w:top w:val="nil"/>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设区市文化和旅游部门</w:t>
            </w:r>
          </w:p>
        </w:tc>
        <w:tc>
          <w:tcPr>
            <w:tcW w:w="5002" w:type="dxa"/>
            <w:tcBorders>
              <w:top w:val="nil"/>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《国务院对确需保留的行政审批项目设定行政许可的决定》（国务院令第412号）</w:t>
            </w:r>
          </w:p>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《国务院关于取消和调整一批行政审批项目等事项的决定》（国发〔2014〕27号）</w:t>
            </w:r>
          </w:p>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《边境旅游暂行管理办法》（1996年3月8日国务院批准，1997年10月15日国家旅游局发布）</w:t>
            </w:r>
          </w:p>
        </w:tc>
        <w:tc>
          <w:tcPr>
            <w:tcW w:w="1261" w:type="dxa"/>
            <w:tcBorders>
              <w:top w:val="nil"/>
              <w:left w:val="nil"/>
              <w:bottom w:val="single" w:color="auto" w:sz="4" w:space="0"/>
              <w:right w:val="single" w:color="auto" w:sz="4" w:space="0"/>
            </w:tcBorders>
            <w:shd w:val="clear" w:color="000000" w:fill="FFFFFF"/>
            <w:vAlign w:val="center"/>
          </w:tcPr>
          <w:p>
            <w:pPr>
              <w:spacing w:line="180" w:lineRule="exact"/>
              <w:rPr>
                <w:sz w:val="18"/>
                <w:szCs w:val="18"/>
              </w:rPr>
            </w:pPr>
            <w:r>
              <w:rPr>
                <w:rFonts w:hint="eastAsia"/>
                <w:sz w:val="18"/>
                <w:szCs w:val="18"/>
              </w:rPr>
              <w:t>边境旅游</w:t>
            </w:r>
          </w:p>
        </w:tc>
      </w:tr>
      <w:tr>
        <w:tblPrEx>
          <w:tblCellMar>
            <w:top w:w="0" w:type="dxa"/>
            <w:left w:w="108" w:type="dxa"/>
            <w:bottom w:w="0" w:type="dxa"/>
            <w:right w:w="108" w:type="dxa"/>
          </w:tblCellMar>
        </w:tblPrEx>
        <w:trPr>
          <w:cantSplit/>
          <w:trHeight w:val="722" w:hRule="atLeast"/>
          <w:jc w:val="center"/>
        </w:trPr>
        <w:tc>
          <w:tcPr>
            <w:tcW w:w="756" w:type="dxa"/>
            <w:tcBorders>
              <w:top w:val="nil"/>
              <w:left w:val="single" w:color="auto" w:sz="4" w:space="0"/>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bCs/>
                <w:kern w:val="0"/>
                <w:sz w:val="18"/>
                <w:szCs w:val="18"/>
              </w:rPr>
            </w:pPr>
            <w:r>
              <w:rPr>
                <w:rFonts w:hint="eastAsia" w:ascii="宋体" w:hAnsi="宋体" w:eastAsia="宋体" w:cs="宋体"/>
                <w:bCs/>
                <w:kern w:val="0"/>
                <w:sz w:val="18"/>
                <w:szCs w:val="18"/>
              </w:rPr>
              <w:t>118</w:t>
            </w:r>
          </w:p>
        </w:tc>
        <w:tc>
          <w:tcPr>
            <w:tcW w:w="1116" w:type="dxa"/>
            <w:tcBorders>
              <w:top w:val="nil"/>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外商投资旅行社业务许可</w:t>
            </w:r>
          </w:p>
        </w:tc>
        <w:tc>
          <w:tcPr>
            <w:tcW w:w="1673" w:type="dxa"/>
            <w:tcBorders>
              <w:top w:val="nil"/>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设区市文化旅游部门</w:t>
            </w:r>
          </w:p>
        </w:tc>
        <w:tc>
          <w:tcPr>
            <w:tcW w:w="5002" w:type="dxa"/>
            <w:tcBorders>
              <w:top w:val="nil"/>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 xml:space="preserve">《旅行社条例》（国务院令第550号)                                                                                          </w:t>
            </w:r>
          </w:p>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《国务院关于取消和调整一批行政审批项目等事项的决定》（国发〔2014〕27号）</w:t>
            </w:r>
          </w:p>
        </w:tc>
        <w:tc>
          <w:tcPr>
            <w:tcW w:w="1261" w:type="dxa"/>
            <w:tcBorders>
              <w:top w:val="nil"/>
              <w:left w:val="nil"/>
              <w:bottom w:val="single" w:color="auto" w:sz="4" w:space="0"/>
              <w:right w:val="single" w:color="auto" w:sz="4" w:space="0"/>
            </w:tcBorders>
            <w:shd w:val="clear" w:color="000000" w:fill="FFFFFF"/>
            <w:vAlign w:val="center"/>
          </w:tcPr>
          <w:p>
            <w:pPr>
              <w:spacing w:line="180" w:lineRule="exact"/>
              <w:rPr>
                <w:rFonts w:ascii="宋体" w:hAnsi="宋体" w:eastAsia="宋体" w:cs="宋体"/>
                <w:sz w:val="18"/>
                <w:szCs w:val="18"/>
              </w:rPr>
            </w:pPr>
            <w:r>
              <w:rPr>
                <w:rFonts w:hint="eastAsia"/>
                <w:sz w:val="18"/>
                <w:szCs w:val="18"/>
              </w:rPr>
              <w:t>旅游、旅行社</w:t>
            </w:r>
          </w:p>
        </w:tc>
      </w:tr>
      <w:tr>
        <w:tblPrEx>
          <w:tblCellMar>
            <w:top w:w="0" w:type="dxa"/>
            <w:left w:w="108" w:type="dxa"/>
            <w:bottom w:w="0" w:type="dxa"/>
            <w:right w:w="108" w:type="dxa"/>
          </w:tblCellMar>
        </w:tblPrEx>
        <w:trPr>
          <w:cantSplit/>
          <w:trHeight w:val="722" w:hRule="atLeast"/>
          <w:jc w:val="center"/>
        </w:trPr>
        <w:tc>
          <w:tcPr>
            <w:tcW w:w="756" w:type="dxa"/>
            <w:tcBorders>
              <w:top w:val="nil"/>
              <w:left w:val="single" w:color="auto" w:sz="4" w:space="0"/>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bCs/>
                <w:kern w:val="0"/>
                <w:sz w:val="18"/>
                <w:szCs w:val="18"/>
              </w:rPr>
            </w:pPr>
            <w:r>
              <w:rPr>
                <w:rFonts w:hint="eastAsia" w:ascii="宋体" w:hAnsi="宋体" w:eastAsia="宋体" w:cs="宋体"/>
                <w:kern w:val="0"/>
                <w:sz w:val="18"/>
                <w:szCs w:val="18"/>
              </w:rPr>
              <w:t>119</w:t>
            </w:r>
          </w:p>
        </w:tc>
        <w:tc>
          <w:tcPr>
            <w:tcW w:w="1116" w:type="dxa"/>
            <w:tcBorders>
              <w:top w:val="nil"/>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营利性医疗机构设置审批</w:t>
            </w:r>
          </w:p>
        </w:tc>
        <w:tc>
          <w:tcPr>
            <w:tcW w:w="1673" w:type="dxa"/>
            <w:tcBorders>
              <w:top w:val="nil"/>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省、设区市、县（市、区）卫生健康部门</w:t>
            </w:r>
          </w:p>
        </w:tc>
        <w:tc>
          <w:tcPr>
            <w:tcW w:w="5002" w:type="dxa"/>
            <w:tcBorders>
              <w:top w:val="nil"/>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《医疗机构管理条例》（国务院令第149号）</w:t>
            </w:r>
          </w:p>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《国务院关于取消和调整一批行政审批项目等事项的决定》（国发〔2014〕50号）</w:t>
            </w:r>
          </w:p>
        </w:tc>
        <w:tc>
          <w:tcPr>
            <w:tcW w:w="1261" w:type="dxa"/>
            <w:tcBorders>
              <w:top w:val="nil"/>
              <w:left w:val="nil"/>
              <w:bottom w:val="single" w:color="auto" w:sz="4" w:space="0"/>
              <w:right w:val="single" w:color="auto" w:sz="4" w:space="0"/>
            </w:tcBorders>
            <w:shd w:val="clear" w:color="000000" w:fill="FFFFFF"/>
            <w:vAlign w:val="center"/>
          </w:tcPr>
          <w:p>
            <w:pPr>
              <w:spacing w:line="180" w:lineRule="exact"/>
              <w:rPr>
                <w:sz w:val="18"/>
                <w:szCs w:val="18"/>
              </w:rPr>
            </w:pPr>
            <w:r>
              <w:rPr>
                <w:rFonts w:hint="eastAsia"/>
                <w:sz w:val="18"/>
                <w:szCs w:val="18"/>
              </w:rPr>
              <w:t>医疗</w:t>
            </w:r>
          </w:p>
        </w:tc>
      </w:tr>
      <w:tr>
        <w:tblPrEx>
          <w:tblCellMar>
            <w:top w:w="0" w:type="dxa"/>
            <w:left w:w="108" w:type="dxa"/>
            <w:bottom w:w="0" w:type="dxa"/>
            <w:right w:w="108" w:type="dxa"/>
          </w:tblCellMar>
        </w:tblPrEx>
        <w:trPr>
          <w:cantSplit/>
          <w:trHeight w:val="1749" w:hRule="atLeast"/>
          <w:jc w:val="center"/>
        </w:trPr>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kern w:val="0"/>
                <w:sz w:val="18"/>
                <w:szCs w:val="18"/>
              </w:rPr>
            </w:pPr>
            <w:r>
              <w:rPr>
                <w:rFonts w:hint="eastAsia" w:ascii="宋体" w:hAnsi="宋体" w:eastAsia="宋体" w:cs="宋体"/>
                <w:kern w:val="0"/>
                <w:sz w:val="18"/>
                <w:szCs w:val="18"/>
              </w:rPr>
              <w:t>120</w:t>
            </w:r>
          </w:p>
        </w:tc>
        <w:tc>
          <w:tcPr>
            <w:tcW w:w="1116"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公共场所卫生许可（不含公园、体育场馆、公共交通工具卫生许可,不含餐饮服务场所卫生许可）</w:t>
            </w:r>
          </w:p>
        </w:tc>
        <w:tc>
          <w:tcPr>
            <w:tcW w:w="1673"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设区市、县（市、区）卫生健康部门</w:t>
            </w:r>
          </w:p>
        </w:tc>
        <w:tc>
          <w:tcPr>
            <w:tcW w:w="5002"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《公共场所卫生管理条例》（国发〔1987〕24号)</w:t>
            </w:r>
          </w:p>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《国务院关于第六批取消和调整行政审批项目的决定》（国发〔2012〕52号）</w:t>
            </w:r>
          </w:p>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《国务院关于取消和调整一批行政审批项目等事项的决定》（国发〔2014〕27号）</w:t>
            </w:r>
          </w:p>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《国务院关于整合调整餐饮服务场所的公共场所卫生许可证和食品经营许可证的决定》（国发〔2016〕12号）</w:t>
            </w:r>
          </w:p>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《辽宁省人民政府关于第八批取消和调整行政审批项目的决定》（辽政发﹝2013﹞5号）</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180" w:lineRule="exact"/>
              <w:rPr>
                <w:rFonts w:ascii="宋体" w:hAnsi="宋体" w:eastAsia="宋体" w:cs="宋体"/>
                <w:sz w:val="18"/>
                <w:szCs w:val="18"/>
              </w:rPr>
            </w:pPr>
            <w:r>
              <w:rPr>
                <w:rFonts w:hint="eastAsia"/>
                <w:sz w:val="18"/>
                <w:szCs w:val="18"/>
              </w:rPr>
              <w:t>娱乐、歌舞、游艺、住宿</w:t>
            </w:r>
          </w:p>
        </w:tc>
      </w:tr>
      <w:tr>
        <w:tblPrEx>
          <w:tblCellMar>
            <w:top w:w="0" w:type="dxa"/>
            <w:left w:w="108" w:type="dxa"/>
            <w:bottom w:w="0" w:type="dxa"/>
            <w:right w:w="108" w:type="dxa"/>
          </w:tblCellMar>
        </w:tblPrEx>
        <w:trPr>
          <w:cantSplit/>
          <w:trHeight w:val="1405" w:hRule="atLeast"/>
          <w:jc w:val="center"/>
        </w:trPr>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kern w:val="0"/>
                <w:sz w:val="18"/>
                <w:szCs w:val="18"/>
              </w:rPr>
            </w:pPr>
            <w:r>
              <w:rPr>
                <w:rFonts w:hint="eastAsia" w:ascii="宋体" w:hAnsi="宋体" w:eastAsia="宋体" w:cs="宋体"/>
                <w:kern w:val="0"/>
                <w:sz w:val="18"/>
                <w:szCs w:val="18"/>
              </w:rPr>
              <w:t>121</w:t>
            </w:r>
          </w:p>
        </w:tc>
        <w:tc>
          <w:tcPr>
            <w:tcW w:w="1116"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饮用水供水单位卫生许可</w:t>
            </w:r>
          </w:p>
        </w:tc>
        <w:tc>
          <w:tcPr>
            <w:tcW w:w="1673"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设区市、县（市、区）卫生健康部门</w:t>
            </w:r>
          </w:p>
        </w:tc>
        <w:tc>
          <w:tcPr>
            <w:tcW w:w="5002"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《传染病防治法》</w:t>
            </w:r>
          </w:p>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《国务院对确需保留的行政审批项目设定行政许可的决定》（国务院令第412号）</w:t>
            </w:r>
          </w:p>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《国务院关于第六批取消和调整行政审批项目的决定》（国发〔2012〕52号）</w:t>
            </w:r>
          </w:p>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《国务院关于取消和调整一批行政审批项目等事项的决定》（国发〔2014〕50号）</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180" w:lineRule="exact"/>
              <w:rPr>
                <w:rFonts w:ascii="宋体" w:hAnsi="宋体" w:eastAsia="宋体" w:cs="宋体"/>
                <w:sz w:val="18"/>
                <w:szCs w:val="18"/>
              </w:rPr>
            </w:pPr>
            <w:r>
              <w:rPr>
                <w:rFonts w:hint="eastAsia"/>
                <w:sz w:val="18"/>
                <w:szCs w:val="18"/>
              </w:rPr>
              <w:t>供水</w:t>
            </w:r>
          </w:p>
        </w:tc>
      </w:tr>
      <w:tr>
        <w:tblPrEx>
          <w:tblCellMar>
            <w:top w:w="0" w:type="dxa"/>
            <w:left w:w="108" w:type="dxa"/>
            <w:bottom w:w="0" w:type="dxa"/>
            <w:right w:w="108" w:type="dxa"/>
          </w:tblCellMar>
        </w:tblPrEx>
        <w:trPr>
          <w:cantSplit/>
          <w:trHeight w:val="1397" w:hRule="atLeast"/>
          <w:jc w:val="center"/>
        </w:trPr>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kern w:val="0"/>
                <w:sz w:val="18"/>
                <w:szCs w:val="18"/>
              </w:rPr>
            </w:pPr>
            <w:r>
              <w:rPr>
                <w:rFonts w:hint="eastAsia" w:ascii="宋体" w:hAnsi="宋体" w:eastAsia="宋体" w:cs="宋体"/>
                <w:kern w:val="0"/>
                <w:sz w:val="18"/>
                <w:szCs w:val="18"/>
              </w:rPr>
              <w:t>122</w:t>
            </w:r>
          </w:p>
        </w:tc>
        <w:tc>
          <w:tcPr>
            <w:tcW w:w="1116"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消毒产品生产企业卫生许可（一次性使用诊疗用品的生产企业除外）</w:t>
            </w:r>
          </w:p>
        </w:tc>
        <w:tc>
          <w:tcPr>
            <w:tcW w:w="1673"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设区市卫生健康部门</w:t>
            </w:r>
          </w:p>
        </w:tc>
        <w:tc>
          <w:tcPr>
            <w:tcW w:w="5002"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《传染病防治法》</w:t>
            </w:r>
          </w:p>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《国务院对确需保留的行政审批项目设定行政许可的决定》（国务院令第412号）</w:t>
            </w:r>
          </w:p>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《国务院关于取消和调整一批行政审批项目等事项的决定》（国发〔2014〕50号）</w:t>
            </w:r>
          </w:p>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《辽宁省人民政府关于取消和下放一批行政职权项目的决定》（辽政发〔2013〕21号）</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180" w:lineRule="exact"/>
              <w:rPr>
                <w:rFonts w:ascii="宋体" w:hAnsi="宋体" w:eastAsia="宋体" w:cs="宋体"/>
                <w:sz w:val="18"/>
                <w:szCs w:val="18"/>
              </w:rPr>
            </w:pPr>
            <w:r>
              <w:rPr>
                <w:rFonts w:hint="eastAsia"/>
                <w:sz w:val="18"/>
                <w:szCs w:val="18"/>
              </w:rPr>
              <w:t>消毒产品</w:t>
            </w:r>
          </w:p>
        </w:tc>
      </w:tr>
      <w:tr>
        <w:tblPrEx>
          <w:tblCellMar>
            <w:top w:w="0" w:type="dxa"/>
            <w:left w:w="108" w:type="dxa"/>
            <w:bottom w:w="0" w:type="dxa"/>
            <w:right w:w="108" w:type="dxa"/>
          </w:tblCellMar>
        </w:tblPrEx>
        <w:trPr>
          <w:cantSplit/>
          <w:trHeight w:val="696" w:hRule="atLeast"/>
          <w:jc w:val="center"/>
        </w:trPr>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kern w:val="0"/>
                <w:sz w:val="18"/>
                <w:szCs w:val="18"/>
              </w:rPr>
            </w:pPr>
            <w:r>
              <w:rPr>
                <w:rFonts w:hint="eastAsia" w:ascii="宋体" w:hAnsi="宋体" w:eastAsia="宋体" w:cs="宋体"/>
                <w:kern w:val="0"/>
                <w:sz w:val="18"/>
                <w:szCs w:val="18"/>
              </w:rPr>
              <w:t>123</w:t>
            </w:r>
          </w:p>
        </w:tc>
        <w:tc>
          <w:tcPr>
            <w:tcW w:w="1116" w:type="dxa"/>
            <w:tcBorders>
              <w:top w:val="single" w:color="auto" w:sz="4" w:space="0"/>
              <w:left w:val="nil"/>
              <w:bottom w:val="single" w:color="auto" w:sz="4" w:space="0"/>
              <w:right w:val="single" w:color="auto" w:sz="4" w:space="0"/>
            </w:tcBorders>
            <w:shd w:val="clear" w:color="000000" w:fill="FFFFFF"/>
            <w:vAlign w:val="center"/>
          </w:tcPr>
          <w:p>
            <w:pPr>
              <w:widowControl/>
              <w:spacing w:line="250" w:lineRule="exact"/>
              <w:jc w:val="left"/>
              <w:rPr>
                <w:rFonts w:ascii="宋体" w:hAnsi="宋体" w:eastAsia="宋体" w:cs="宋体"/>
                <w:kern w:val="0"/>
                <w:sz w:val="18"/>
                <w:szCs w:val="18"/>
              </w:rPr>
            </w:pPr>
            <w:r>
              <w:rPr>
                <w:rFonts w:hint="eastAsia" w:ascii="宋体" w:hAnsi="宋体" w:eastAsia="宋体" w:cs="宋体"/>
                <w:kern w:val="0"/>
                <w:sz w:val="18"/>
                <w:szCs w:val="18"/>
              </w:rPr>
              <w:t>职业卫生技术服务机构资质认可</w:t>
            </w:r>
          </w:p>
        </w:tc>
        <w:tc>
          <w:tcPr>
            <w:tcW w:w="1673" w:type="dxa"/>
            <w:tcBorders>
              <w:top w:val="single" w:color="auto" w:sz="4" w:space="0"/>
              <w:left w:val="nil"/>
              <w:bottom w:val="single" w:color="auto" w:sz="4" w:space="0"/>
              <w:right w:val="single" w:color="auto" w:sz="4" w:space="0"/>
            </w:tcBorders>
            <w:shd w:val="clear" w:color="000000" w:fill="FFFFFF"/>
            <w:vAlign w:val="center"/>
          </w:tcPr>
          <w:p>
            <w:pPr>
              <w:widowControl/>
              <w:spacing w:line="250" w:lineRule="exact"/>
              <w:jc w:val="left"/>
              <w:rPr>
                <w:rFonts w:ascii="宋体" w:hAnsi="宋体" w:eastAsia="宋体" w:cs="宋体"/>
                <w:kern w:val="0"/>
                <w:sz w:val="18"/>
                <w:szCs w:val="18"/>
              </w:rPr>
            </w:pPr>
            <w:r>
              <w:rPr>
                <w:rFonts w:hint="eastAsia" w:ascii="宋体" w:hAnsi="宋体" w:eastAsia="宋体" w:cs="宋体"/>
                <w:kern w:val="0"/>
                <w:sz w:val="18"/>
                <w:szCs w:val="18"/>
              </w:rPr>
              <w:t>国家卫生健康委，省、设区市卫生健康部门</w:t>
            </w:r>
          </w:p>
        </w:tc>
        <w:tc>
          <w:tcPr>
            <w:tcW w:w="5002" w:type="dxa"/>
            <w:tcBorders>
              <w:top w:val="single" w:color="auto" w:sz="4" w:space="0"/>
              <w:left w:val="nil"/>
              <w:bottom w:val="single" w:color="auto" w:sz="4" w:space="0"/>
              <w:right w:val="single" w:color="auto" w:sz="4" w:space="0"/>
            </w:tcBorders>
            <w:shd w:val="clear" w:color="000000" w:fill="FFFFFF"/>
            <w:vAlign w:val="center"/>
          </w:tcPr>
          <w:p>
            <w:pPr>
              <w:widowControl/>
              <w:spacing w:line="250" w:lineRule="exact"/>
              <w:jc w:val="left"/>
              <w:rPr>
                <w:rFonts w:ascii="宋体" w:hAnsi="宋体" w:eastAsia="宋体" w:cs="宋体"/>
                <w:kern w:val="0"/>
                <w:sz w:val="18"/>
                <w:szCs w:val="18"/>
              </w:rPr>
            </w:pPr>
            <w:r>
              <w:rPr>
                <w:rFonts w:hint="eastAsia" w:ascii="宋体" w:hAnsi="宋体" w:eastAsia="宋体" w:cs="宋体"/>
                <w:kern w:val="0"/>
                <w:sz w:val="18"/>
                <w:szCs w:val="18"/>
              </w:rPr>
              <w:t xml:space="preserve">《职业病防治法》                                                                                      </w:t>
            </w:r>
          </w:p>
          <w:p>
            <w:pPr>
              <w:widowControl/>
              <w:spacing w:line="250" w:lineRule="exact"/>
              <w:jc w:val="left"/>
              <w:rPr>
                <w:rFonts w:ascii="宋体" w:hAnsi="宋体" w:eastAsia="宋体" w:cs="宋体"/>
                <w:kern w:val="0"/>
                <w:sz w:val="18"/>
                <w:szCs w:val="18"/>
              </w:rPr>
            </w:pPr>
            <w:r>
              <w:rPr>
                <w:rFonts w:hint="eastAsia" w:ascii="宋体" w:hAnsi="宋体" w:eastAsia="宋体" w:cs="宋体"/>
                <w:kern w:val="0"/>
                <w:sz w:val="18"/>
                <w:szCs w:val="18"/>
              </w:rPr>
              <w:t xml:space="preserve">《职业卫生技术服务机构监督管理暂行办法》（安全生产监管总局令第50号）                                                  </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250" w:lineRule="exact"/>
              <w:rPr>
                <w:rFonts w:ascii="宋体" w:hAnsi="宋体" w:eastAsia="宋体" w:cs="宋体"/>
                <w:sz w:val="18"/>
                <w:szCs w:val="18"/>
              </w:rPr>
            </w:pPr>
            <w:r>
              <w:rPr>
                <w:rFonts w:hint="eastAsia"/>
                <w:sz w:val="18"/>
                <w:szCs w:val="18"/>
              </w:rPr>
              <w:t>职业卫生技术</w:t>
            </w:r>
          </w:p>
        </w:tc>
      </w:tr>
      <w:tr>
        <w:tblPrEx>
          <w:tblCellMar>
            <w:top w:w="0" w:type="dxa"/>
            <w:left w:w="108" w:type="dxa"/>
            <w:bottom w:w="0" w:type="dxa"/>
            <w:right w:w="108" w:type="dxa"/>
          </w:tblCellMar>
        </w:tblPrEx>
        <w:trPr>
          <w:cantSplit/>
          <w:trHeight w:val="1259" w:hRule="atLeast"/>
          <w:jc w:val="center"/>
        </w:trPr>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kern w:val="0"/>
                <w:sz w:val="18"/>
                <w:szCs w:val="18"/>
              </w:rPr>
            </w:pPr>
            <w:r>
              <w:rPr>
                <w:rFonts w:hint="eastAsia" w:ascii="宋体" w:hAnsi="宋体" w:eastAsia="宋体" w:cs="宋体"/>
                <w:kern w:val="0"/>
                <w:sz w:val="18"/>
                <w:szCs w:val="18"/>
              </w:rPr>
              <w:t>124</w:t>
            </w:r>
          </w:p>
        </w:tc>
        <w:tc>
          <w:tcPr>
            <w:tcW w:w="1116" w:type="dxa"/>
            <w:tcBorders>
              <w:top w:val="single" w:color="auto" w:sz="4" w:space="0"/>
              <w:left w:val="nil"/>
              <w:bottom w:val="single" w:color="auto" w:sz="4" w:space="0"/>
              <w:right w:val="single" w:color="auto" w:sz="4" w:space="0"/>
            </w:tcBorders>
            <w:shd w:val="clear" w:color="000000" w:fill="FFFFFF"/>
            <w:vAlign w:val="center"/>
          </w:tcPr>
          <w:p>
            <w:pPr>
              <w:widowControl/>
              <w:spacing w:line="250" w:lineRule="exact"/>
              <w:jc w:val="left"/>
              <w:rPr>
                <w:rFonts w:ascii="宋体" w:hAnsi="宋体" w:eastAsia="宋体" w:cs="宋体"/>
                <w:kern w:val="0"/>
                <w:sz w:val="18"/>
                <w:szCs w:val="18"/>
              </w:rPr>
            </w:pPr>
            <w:r>
              <w:rPr>
                <w:rFonts w:hint="eastAsia" w:ascii="宋体" w:hAnsi="宋体" w:eastAsia="宋体" w:cs="宋体"/>
                <w:kern w:val="0"/>
                <w:sz w:val="18"/>
                <w:szCs w:val="18"/>
              </w:rPr>
              <w:t>为煤矿建设项目或煤矿企业提供职业卫生技术服务机构资质认可</w:t>
            </w:r>
          </w:p>
        </w:tc>
        <w:tc>
          <w:tcPr>
            <w:tcW w:w="1673" w:type="dxa"/>
            <w:tcBorders>
              <w:top w:val="single" w:color="auto" w:sz="4" w:space="0"/>
              <w:left w:val="nil"/>
              <w:bottom w:val="single" w:color="auto" w:sz="4" w:space="0"/>
              <w:right w:val="single" w:color="auto" w:sz="4" w:space="0"/>
            </w:tcBorders>
            <w:shd w:val="clear" w:color="000000" w:fill="FFFFFF"/>
            <w:vAlign w:val="center"/>
          </w:tcPr>
          <w:p>
            <w:pPr>
              <w:widowControl/>
              <w:spacing w:line="250" w:lineRule="exact"/>
              <w:jc w:val="left"/>
              <w:rPr>
                <w:rFonts w:ascii="宋体" w:hAnsi="宋体" w:eastAsia="宋体" w:cs="宋体"/>
                <w:kern w:val="0"/>
                <w:sz w:val="18"/>
                <w:szCs w:val="18"/>
              </w:rPr>
            </w:pPr>
            <w:r>
              <w:rPr>
                <w:rFonts w:hint="eastAsia" w:ascii="宋体" w:hAnsi="宋体" w:eastAsia="宋体" w:cs="宋体"/>
                <w:kern w:val="0"/>
                <w:sz w:val="18"/>
                <w:szCs w:val="18"/>
              </w:rPr>
              <w:t>省卫生健康委</w:t>
            </w:r>
          </w:p>
        </w:tc>
        <w:tc>
          <w:tcPr>
            <w:tcW w:w="5002" w:type="dxa"/>
            <w:tcBorders>
              <w:top w:val="single" w:color="auto" w:sz="4" w:space="0"/>
              <w:left w:val="nil"/>
              <w:bottom w:val="single" w:color="auto" w:sz="4" w:space="0"/>
              <w:right w:val="single" w:color="auto" w:sz="4" w:space="0"/>
            </w:tcBorders>
            <w:shd w:val="clear" w:color="000000" w:fill="FFFFFF"/>
            <w:vAlign w:val="center"/>
          </w:tcPr>
          <w:p>
            <w:pPr>
              <w:widowControl/>
              <w:spacing w:line="250" w:lineRule="exact"/>
              <w:jc w:val="left"/>
              <w:rPr>
                <w:rFonts w:ascii="宋体" w:hAnsi="宋体" w:eastAsia="宋体" w:cs="宋体"/>
                <w:kern w:val="0"/>
                <w:sz w:val="18"/>
                <w:szCs w:val="18"/>
              </w:rPr>
            </w:pPr>
            <w:r>
              <w:rPr>
                <w:rFonts w:hint="eastAsia" w:ascii="宋体" w:hAnsi="宋体" w:eastAsia="宋体" w:cs="宋体"/>
                <w:kern w:val="0"/>
                <w:sz w:val="18"/>
                <w:szCs w:val="18"/>
              </w:rPr>
              <w:t xml:space="preserve">《职业病防治法》                                                                                      </w:t>
            </w:r>
          </w:p>
          <w:p>
            <w:pPr>
              <w:widowControl/>
              <w:spacing w:line="250" w:lineRule="exact"/>
              <w:jc w:val="left"/>
              <w:rPr>
                <w:rFonts w:ascii="宋体" w:hAnsi="宋体" w:eastAsia="宋体" w:cs="宋体"/>
                <w:kern w:val="0"/>
                <w:sz w:val="18"/>
                <w:szCs w:val="18"/>
              </w:rPr>
            </w:pPr>
            <w:r>
              <w:rPr>
                <w:rFonts w:hint="eastAsia" w:ascii="宋体" w:hAnsi="宋体" w:eastAsia="宋体" w:cs="宋体"/>
                <w:kern w:val="0"/>
                <w:sz w:val="18"/>
                <w:szCs w:val="18"/>
              </w:rPr>
              <w:t xml:space="preserve">《职业卫生技术服务机构监督管理暂行办法》（安全生产监管总局令第50号）                                                  </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250" w:lineRule="exact"/>
              <w:rPr>
                <w:rFonts w:ascii="宋体" w:hAnsi="宋体" w:eastAsia="宋体" w:cs="宋体"/>
                <w:sz w:val="18"/>
                <w:szCs w:val="18"/>
              </w:rPr>
            </w:pPr>
            <w:r>
              <w:rPr>
                <w:rFonts w:hint="eastAsia"/>
                <w:sz w:val="18"/>
                <w:szCs w:val="18"/>
              </w:rPr>
              <w:t>职业卫生技术</w:t>
            </w:r>
          </w:p>
        </w:tc>
      </w:tr>
      <w:tr>
        <w:tblPrEx>
          <w:tblCellMar>
            <w:top w:w="0" w:type="dxa"/>
            <w:left w:w="108" w:type="dxa"/>
            <w:bottom w:w="0" w:type="dxa"/>
            <w:right w:w="108" w:type="dxa"/>
          </w:tblCellMar>
        </w:tblPrEx>
        <w:trPr>
          <w:cantSplit/>
          <w:trHeight w:val="607" w:hRule="atLeast"/>
          <w:jc w:val="center"/>
        </w:trPr>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bCs/>
                <w:kern w:val="0"/>
                <w:sz w:val="18"/>
                <w:szCs w:val="18"/>
              </w:rPr>
            </w:pPr>
            <w:r>
              <w:rPr>
                <w:rFonts w:hint="eastAsia" w:ascii="宋体" w:hAnsi="宋体" w:eastAsia="宋体" w:cs="宋体"/>
                <w:kern w:val="0"/>
                <w:sz w:val="18"/>
                <w:szCs w:val="18"/>
              </w:rPr>
              <w:t>125</w:t>
            </w:r>
          </w:p>
        </w:tc>
        <w:tc>
          <w:tcPr>
            <w:tcW w:w="1116"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设立认证机构审批</w:t>
            </w:r>
          </w:p>
        </w:tc>
        <w:tc>
          <w:tcPr>
            <w:tcW w:w="1673"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市场监管总局</w:t>
            </w:r>
          </w:p>
        </w:tc>
        <w:tc>
          <w:tcPr>
            <w:tcW w:w="5002"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《认证认可条例》（国务院令第390号）</w:t>
            </w:r>
          </w:p>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《国务院关于取消和调整一批行政审批项目等事项的决定》（国发〔2014〕50号）</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180" w:lineRule="exact"/>
              <w:rPr>
                <w:rFonts w:ascii="宋体" w:hAnsi="宋体" w:eastAsia="宋体" w:cs="宋体"/>
                <w:sz w:val="18"/>
                <w:szCs w:val="18"/>
              </w:rPr>
            </w:pPr>
            <w:r>
              <w:rPr>
                <w:rFonts w:hint="eastAsia"/>
                <w:sz w:val="18"/>
                <w:szCs w:val="18"/>
              </w:rPr>
              <w:t>认证</w:t>
            </w:r>
          </w:p>
        </w:tc>
      </w:tr>
      <w:tr>
        <w:tblPrEx>
          <w:tblCellMar>
            <w:top w:w="0" w:type="dxa"/>
            <w:left w:w="108" w:type="dxa"/>
            <w:bottom w:w="0" w:type="dxa"/>
            <w:right w:w="108" w:type="dxa"/>
          </w:tblCellMar>
        </w:tblPrEx>
        <w:trPr>
          <w:cantSplit/>
          <w:trHeight w:val="960" w:hRule="atLeast"/>
          <w:jc w:val="center"/>
        </w:trPr>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bCs/>
                <w:kern w:val="0"/>
                <w:sz w:val="18"/>
                <w:szCs w:val="18"/>
              </w:rPr>
            </w:pPr>
            <w:r>
              <w:rPr>
                <w:rFonts w:hint="eastAsia" w:ascii="宋体" w:hAnsi="宋体" w:eastAsia="宋体" w:cs="宋体"/>
                <w:bCs/>
                <w:kern w:val="0"/>
                <w:sz w:val="18"/>
                <w:szCs w:val="18"/>
              </w:rPr>
              <w:t>126</w:t>
            </w:r>
          </w:p>
        </w:tc>
        <w:tc>
          <w:tcPr>
            <w:tcW w:w="1116"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特种设备生产（设计、制造、安装、改造、修理）单位许可</w:t>
            </w:r>
          </w:p>
        </w:tc>
        <w:tc>
          <w:tcPr>
            <w:tcW w:w="1673"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省、设区市市场监管部门</w:t>
            </w:r>
          </w:p>
        </w:tc>
        <w:tc>
          <w:tcPr>
            <w:tcW w:w="5002"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《特种设备安全法》</w:t>
            </w:r>
          </w:p>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《国务院关于取消和调整一批行政审批项目等事项的决定》（国发〔2014〕50号）</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180" w:lineRule="exact"/>
              <w:rPr>
                <w:rFonts w:ascii="宋体" w:hAnsi="宋体" w:eastAsia="宋体" w:cs="宋体"/>
                <w:sz w:val="18"/>
                <w:szCs w:val="18"/>
              </w:rPr>
            </w:pPr>
            <w:r>
              <w:rPr>
                <w:rFonts w:hint="eastAsia"/>
                <w:sz w:val="18"/>
                <w:szCs w:val="18"/>
              </w:rPr>
              <w:t>特种设备</w:t>
            </w:r>
          </w:p>
        </w:tc>
      </w:tr>
      <w:tr>
        <w:tblPrEx>
          <w:tblCellMar>
            <w:top w:w="0" w:type="dxa"/>
            <w:left w:w="108" w:type="dxa"/>
            <w:bottom w:w="0" w:type="dxa"/>
            <w:right w:w="108" w:type="dxa"/>
          </w:tblCellMar>
        </w:tblPrEx>
        <w:trPr>
          <w:cantSplit/>
          <w:trHeight w:val="679" w:hRule="atLeast"/>
          <w:jc w:val="center"/>
        </w:trPr>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kern w:val="0"/>
                <w:sz w:val="18"/>
                <w:szCs w:val="18"/>
              </w:rPr>
            </w:pPr>
            <w:r>
              <w:rPr>
                <w:rFonts w:hint="eastAsia" w:ascii="宋体" w:hAnsi="宋体" w:eastAsia="宋体" w:cs="宋体"/>
                <w:bCs/>
                <w:kern w:val="0"/>
                <w:sz w:val="18"/>
                <w:szCs w:val="18"/>
              </w:rPr>
              <w:t>127</w:t>
            </w:r>
          </w:p>
        </w:tc>
        <w:tc>
          <w:tcPr>
            <w:tcW w:w="1116"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重要工业产品生产许可</w:t>
            </w:r>
          </w:p>
        </w:tc>
        <w:tc>
          <w:tcPr>
            <w:tcW w:w="1673"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省、设区市场监管部门</w:t>
            </w:r>
          </w:p>
        </w:tc>
        <w:tc>
          <w:tcPr>
            <w:tcW w:w="5002"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《工业产品生产许可证管理条例》（国务院令第440号）</w:t>
            </w:r>
          </w:p>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《工业产品生产许可证管理条例实施办法》（质检总局令第156号）</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180" w:lineRule="exact"/>
              <w:rPr>
                <w:rFonts w:ascii="宋体" w:hAnsi="宋体" w:eastAsia="宋体" w:cs="宋体"/>
                <w:sz w:val="18"/>
                <w:szCs w:val="18"/>
              </w:rPr>
            </w:pPr>
            <w:r>
              <w:rPr>
                <w:rFonts w:hint="eastAsia"/>
                <w:sz w:val="18"/>
                <w:szCs w:val="18"/>
              </w:rPr>
              <w:t>工业产品</w:t>
            </w:r>
          </w:p>
        </w:tc>
      </w:tr>
      <w:tr>
        <w:tblPrEx>
          <w:tblCellMar>
            <w:top w:w="0" w:type="dxa"/>
            <w:left w:w="108" w:type="dxa"/>
            <w:bottom w:w="0" w:type="dxa"/>
            <w:right w:w="108" w:type="dxa"/>
          </w:tblCellMar>
        </w:tblPrEx>
        <w:trPr>
          <w:cantSplit/>
          <w:trHeight w:val="503" w:hRule="atLeast"/>
          <w:jc w:val="center"/>
        </w:trPr>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b/>
                <w:bCs/>
                <w:kern w:val="0"/>
                <w:sz w:val="18"/>
                <w:szCs w:val="18"/>
              </w:rPr>
            </w:pPr>
            <w:r>
              <w:rPr>
                <w:rFonts w:hint="eastAsia" w:ascii="宋体" w:hAnsi="宋体" w:eastAsia="宋体" w:cs="宋体"/>
                <w:b/>
                <w:bCs/>
                <w:kern w:val="0"/>
                <w:sz w:val="18"/>
                <w:szCs w:val="18"/>
              </w:rPr>
              <w:t>序号</w:t>
            </w:r>
          </w:p>
        </w:tc>
        <w:tc>
          <w:tcPr>
            <w:tcW w:w="1116"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b/>
                <w:bCs/>
                <w:kern w:val="0"/>
                <w:sz w:val="18"/>
                <w:szCs w:val="18"/>
              </w:rPr>
            </w:pPr>
            <w:r>
              <w:rPr>
                <w:rFonts w:hint="eastAsia" w:ascii="宋体" w:hAnsi="宋体" w:eastAsia="宋体" w:cs="宋体"/>
                <w:b/>
                <w:bCs/>
                <w:kern w:val="0"/>
                <w:sz w:val="18"/>
                <w:szCs w:val="18"/>
              </w:rPr>
              <w:t>项目名称</w:t>
            </w:r>
          </w:p>
        </w:tc>
        <w:tc>
          <w:tcPr>
            <w:tcW w:w="1673"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b/>
                <w:bCs/>
                <w:kern w:val="0"/>
                <w:sz w:val="18"/>
                <w:szCs w:val="18"/>
              </w:rPr>
            </w:pPr>
            <w:r>
              <w:rPr>
                <w:rFonts w:hint="eastAsia" w:ascii="宋体" w:hAnsi="宋体" w:eastAsia="宋体" w:cs="宋体"/>
                <w:b/>
                <w:bCs/>
                <w:kern w:val="0"/>
                <w:sz w:val="18"/>
                <w:szCs w:val="18"/>
              </w:rPr>
              <w:t>实施机关</w:t>
            </w:r>
          </w:p>
        </w:tc>
        <w:tc>
          <w:tcPr>
            <w:tcW w:w="5002"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b/>
                <w:bCs/>
                <w:kern w:val="0"/>
                <w:sz w:val="18"/>
                <w:szCs w:val="18"/>
              </w:rPr>
            </w:pPr>
            <w:r>
              <w:rPr>
                <w:rFonts w:hint="eastAsia" w:ascii="宋体" w:hAnsi="宋体" w:eastAsia="宋体" w:cs="宋体"/>
                <w:b/>
                <w:bCs/>
                <w:kern w:val="0"/>
                <w:sz w:val="18"/>
                <w:szCs w:val="18"/>
              </w:rPr>
              <w:t xml:space="preserve">设定依据                                                                                         </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180" w:lineRule="exact"/>
              <w:rPr>
                <w:rFonts w:ascii="宋体" w:hAnsi="宋体" w:eastAsia="宋体" w:cs="宋体"/>
                <w:sz w:val="18"/>
                <w:szCs w:val="18"/>
              </w:rPr>
            </w:pPr>
            <w:r>
              <w:rPr>
                <w:rFonts w:hint="eastAsia" w:ascii="宋体" w:hAnsi="宋体" w:eastAsia="宋体" w:cs="宋体"/>
                <w:b/>
                <w:bCs/>
                <w:kern w:val="0"/>
                <w:sz w:val="18"/>
                <w:szCs w:val="18"/>
              </w:rPr>
              <w:t>检索关键词</w:t>
            </w:r>
          </w:p>
        </w:tc>
      </w:tr>
      <w:tr>
        <w:tblPrEx>
          <w:tblCellMar>
            <w:top w:w="0" w:type="dxa"/>
            <w:left w:w="108" w:type="dxa"/>
            <w:bottom w:w="0" w:type="dxa"/>
            <w:right w:w="108" w:type="dxa"/>
          </w:tblCellMar>
        </w:tblPrEx>
        <w:trPr>
          <w:cantSplit/>
          <w:trHeight w:val="732" w:hRule="atLeast"/>
          <w:jc w:val="center"/>
        </w:trPr>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bCs/>
                <w:kern w:val="0"/>
                <w:sz w:val="18"/>
                <w:szCs w:val="18"/>
              </w:rPr>
            </w:pPr>
            <w:r>
              <w:rPr>
                <w:rFonts w:hint="eastAsia" w:ascii="宋体" w:hAnsi="宋体" w:eastAsia="宋体" w:cs="宋体"/>
                <w:kern w:val="0"/>
                <w:sz w:val="18"/>
                <w:szCs w:val="18"/>
              </w:rPr>
              <w:t>128</w:t>
            </w:r>
          </w:p>
        </w:tc>
        <w:tc>
          <w:tcPr>
            <w:tcW w:w="1116"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移动式压力容器、气瓶充装单位审批</w:t>
            </w:r>
          </w:p>
        </w:tc>
        <w:tc>
          <w:tcPr>
            <w:tcW w:w="1673"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设区市、县（市、区）市场监管部门</w:t>
            </w:r>
          </w:p>
        </w:tc>
        <w:tc>
          <w:tcPr>
            <w:tcW w:w="5002"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《特种设备安全法》</w:t>
            </w:r>
          </w:p>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《特种设备安全监察条例》(国务院令第373号)</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180" w:lineRule="exact"/>
              <w:rPr>
                <w:rFonts w:ascii="宋体" w:hAnsi="宋体" w:eastAsia="宋体" w:cs="宋体"/>
                <w:sz w:val="18"/>
                <w:szCs w:val="18"/>
              </w:rPr>
            </w:pPr>
            <w:r>
              <w:rPr>
                <w:rFonts w:hint="eastAsia"/>
                <w:sz w:val="18"/>
                <w:szCs w:val="18"/>
              </w:rPr>
              <w:t>气瓶、移动式压力容器充装</w:t>
            </w:r>
          </w:p>
        </w:tc>
      </w:tr>
      <w:tr>
        <w:tblPrEx>
          <w:tblCellMar>
            <w:top w:w="0" w:type="dxa"/>
            <w:left w:w="108" w:type="dxa"/>
            <w:bottom w:w="0" w:type="dxa"/>
            <w:right w:w="108" w:type="dxa"/>
          </w:tblCellMar>
        </w:tblPrEx>
        <w:trPr>
          <w:cantSplit/>
          <w:trHeight w:val="1127" w:hRule="atLeast"/>
          <w:jc w:val="center"/>
        </w:trPr>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bCs/>
                <w:kern w:val="0"/>
                <w:sz w:val="18"/>
                <w:szCs w:val="18"/>
              </w:rPr>
            </w:pPr>
            <w:r>
              <w:rPr>
                <w:rFonts w:hint="eastAsia" w:ascii="宋体" w:hAnsi="宋体" w:eastAsia="宋体" w:cs="宋体"/>
                <w:bCs/>
                <w:kern w:val="0"/>
                <w:sz w:val="18"/>
                <w:szCs w:val="18"/>
              </w:rPr>
              <w:t>129</w:t>
            </w:r>
          </w:p>
        </w:tc>
        <w:tc>
          <w:tcPr>
            <w:tcW w:w="1116"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特种设备（气瓶）检验、检测机构核准</w:t>
            </w:r>
          </w:p>
        </w:tc>
        <w:tc>
          <w:tcPr>
            <w:tcW w:w="1673"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设区市、县（市、区）市场监管部门</w:t>
            </w:r>
          </w:p>
        </w:tc>
        <w:tc>
          <w:tcPr>
            <w:tcW w:w="5002"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《特种设备安全法》</w:t>
            </w:r>
          </w:p>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《特种设备安全监察条例》（国务院令第549号）</w:t>
            </w:r>
          </w:p>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《国务院关于第六批取消和调整行政审批项目的决定》（国发〔2012〕52号）</w:t>
            </w:r>
          </w:p>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《国务院关于取消和调整一批行政审批项目等事项的决定》（国发〔2014〕50号）</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180" w:lineRule="exact"/>
              <w:rPr>
                <w:rFonts w:ascii="宋体" w:hAnsi="宋体" w:eastAsia="宋体" w:cs="宋体"/>
                <w:sz w:val="18"/>
                <w:szCs w:val="18"/>
              </w:rPr>
            </w:pPr>
            <w:r>
              <w:rPr>
                <w:rFonts w:hint="eastAsia"/>
                <w:sz w:val="18"/>
                <w:szCs w:val="18"/>
              </w:rPr>
              <w:t>特种设备检验检测</w:t>
            </w:r>
          </w:p>
        </w:tc>
      </w:tr>
      <w:tr>
        <w:tblPrEx>
          <w:tblCellMar>
            <w:top w:w="0" w:type="dxa"/>
            <w:left w:w="108" w:type="dxa"/>
            <w:bottom w:w="0" w:type="dxa"/>
            <w:right w:w="108" w:type="dxa"/>
          </w:tblCellMar>
        </w:tblPrEx>
        <w:trPr>
          <w:cantSplit/>
          <w:trHeight w:val="977" w:hRule="atLeast"/>
          <w:jc w:val="center"/>
        </w:trPr>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kern w:val="0"/>
                <w:sz w:val="18"/>
                <w:szCs w:val="18"/>
              </w:rPr>
            </w:pPr>
            <w:r>
              <w:rPr>
                <w:rFonts w:hint="eastAsia" w:ascii="宋体" w:hAnsi="宋体" w:eastAsia="宋体" w:cs="宋体"/>
                <w:kern w:val="0"/>
                <w:sz w:val="18"/>
                <w:szCs w:val="18"/>
              </w:rPr>
              <w:t>130</w:t>
            </w:r>
          </w:p>
        </w:tc>
        <w:tc>
          <w:tcPr>
            <w:tcW w:w="1116"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检验检测机构资质认定</w:t>
            </w:r>
          </w:p>
        </w:tc>
        <w:tc>
          <w:tcPr>
            <w:tcW w:w="1673"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省、设区市市场监管部门</w:t>
            </w:r>
          </w:p>
        </w:tc>
        <w:tc>
          <w:tcPr>
            <w:tcW w:w="5002"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《计量法》</w:t>
            </w:r>
          </w:p>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《认证认可条例》（国务院令第390号）</w:t>
            </w:r>
          </w:p>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《检验检测机构资质认定管理办法》（质检总局令第163号）</w:t>
            </w:r>
          </w:p>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《辽宁省人民政府关于取消和下放一批行政职权项目的决定》（辽政发〔2014〕14号）</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180" w:lineRule="exact"/>
              <w:rPr>
                <w:rFonts w:ascii="宋体" w:hAnsi="宋体" w:eastAsia="宋体" w:cs="宋体"/>
                <w:sz w:val="18"/>
                <w:szCs w:val="18"/>
              </w:rPr>
            </w:pPr>
            <w:r>
              <w:rPr>
                <w:rFonts w:hint="eastAsia"/>
                <w:sz w:val="18"/>
                <w:szCs w:val="18"/>
              </w:rPr>
              <w:t>检验、检测</w:t>
            </w:r>
          </w:p>
        </w:tc>
      </w:tr>
      <w:tr>
        <w:tblPrEx>
          <w:tblCellMar>
            <w:top w:w="0" w:type="dxa"/>
            <w:left w:w="108" w:type="dxa"/>
            <w:bottom w:w="0" w:type="dxa"/>
            <w:right w:w="108" w:type="dxa"/>
          </w:tblCellMar>
        </w:tblPrEx>
        <w:trPr>
          <w:cantSplit/>
          <w:trHeight w:val="977" w:hRule="atLeast"/>
          <w:jc w:val="center"/>
        </w:trPr>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kern w:val="0"/>
                <w:sz w:val="18"/>
                <w:szCs w:val="18"/>
              </w:rPr>
            </w:pPr>
            <w:r>
              <w:rPr>
                <w:rFonts w:hint="eastAsia" w:ascii="宋体" w:hAnsi="宋体" w:eastAsia="宋体" w:cs="宋体"/>
                <w:kern w:val="0"/>
                <w:sz w:val="18"/>
                <w:szCs w:val="18"/>
              </w:rPr>
              <w:t>131</w:t>
            </w:r>
          </w:p>
        </w:tc>
        <w:tc>
          <w:tcPr>
            <w:tcW w:w="1116"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产品质量检验机构资格认定</w:t>
            </w:r>
          </w:p>
        </w:tc>
        <w:tc>
          <w:tcPr>
            <w:tcW w:w="1673"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省市场监管局</w:t>
            </w:r>
          </w:p>
        </w:tc>
        <w:tc>
          <w:tcPr>
            <w:tcW w:w="5002"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《计量法》</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180" w:lineRule="exact"/>
              <w:rPr>
                <w:sz w:val="18"/>
                <w:szCs w:val="18"/>
              </w:rPr>
            </w:pPr>
            <w:r>
              <w:rPr>
                <w:rFonts w:hint="eastAsia"/>
                <w:sz w:val="18"/>
                <w:szCs w:val="18"/>
              </w:rPr>
              <w:t>产品质量检验</w:t>
            </w:r>
          </w:p>
        </w:tc>
      </w:tr>
      <w:tr>
        <w:tblPrEx>
          <w:tblCellMar>
            <w:top w:w="0" w:type="dxa"/>
            <w:left w:w="108" w:type="dxa"/>
            <w:bottom w:w="0" w:type="dxa"/>
            <w:right w:w="108" w:type="dxa"/>
          </w:tblCellMar>
        </w:tblPrEx>
        <w:trPr>
          <w:cantSplit/>
          <w:trHeight w:val="899" w:hRule="atLeast"/>
          <w:jc w:val="center"/>
        </w:trPr>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kern w:val="0"/>
                <w:sz w:val="18"/>
                <w:szCs w:val="18"/>
              </w:rPr>
            </w:pPr>
            <w:r>
              <w:rPr>
                <w:rFonts w:hint="eastAsia" w:ascii="宋体" w:hAnsi="宋体" w:eastAsia="宋体" w:cs="宋体"/>
                <w:kern w:val="0"/>
                <w:sz w:val="18"/>
                <w:szCs w:val="18"/>
              </w:rPr>
              <w:t>132</w:t>
            </w:r>
          </w:p>
        </w:tc>
        <w:tc>
          <w:tcPr>
            <w:tcW w:w="1116"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直接接触食品的材料等食品相关产品生产许可证核发</w:t>
            </w:r>
          </w:p>
        </w:tc>
        <w:tc>
          <w:tcPr>
            <w:tcW w:w="1673"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设区市市场监管部门</w:t>
            </w:r>
          </w:p>
        </w:tc>
        <w:tc>
          <w:tcPr>
            <w:tcW w:w="5002"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《食品法》</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180" w:lineRule="exact"/>
              <w:rPr>
                <w:rFonts w:ascii="宋体" w:hAnsi="宋体" w:eastAsia="宋体" w:cs="宋体"/>
                <w:sz w:val="18"/>
                <w:szCs w:val="18"/>
              </w:rPr>
            </w:pPr>
            <w:r>
              <w:rPr>
                <w:rFonts w:hint="eastAsia"/>
                <w:sz w:val="18"/>
                <w:szCs w:val="18"/>
              </w:rPr>
              <w:t>食品相关产品生产</w:t>
            </w:r>
          </w:p>
        </w:tc>
      </w:tr>
      <w:tr>
        <w:tblPrEx>
          <w:tblCellMar>
            <w:top w:w="0" w:type="dxa"/>
            <w:left w:w="108" w:type="dxa"/>
            <w:bottom w:w="0" w:type="dxa"/>
            <w:right w:w="108" w:type="dxa"/>
          </w:tblCellMar>
        </w:tblPrEx>
        <w:trPr>
          <w:cantSplit/>
          <w:trHeight w:val="699" w:hRule="atLeast"/>
          <w:jc w:val="center"/>
        </w:trPr>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kern w:val="0"/>
                <w:sz w:val="18"/>
                <w:szCs w:val="18"/>
              </w:rPr>
            </w:pPr>
            <w:r>
              <w:rPr>
                <w:rFonts w:hint="eastAsia" w:ascii="宋体" w:hAnsi="宋体" w:eastAsia="宋体" w:cs="宋体"/>
                <w:kern w:val="0"/>
                <w:sz w:val="18"/>
                <w:szCs w:val="18"/>
              </w:rPr>
              <w:t>133</w:t>
            </w:r>
          </w:p>
        </w:tc>
        <w:tc>
          <w:tcPr>
            <w:tcW w:w="1116"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食品（含食品添加剂）生产许可</w:t>
            </w:r>
          </w:p>
        </w:tc>
        <w:tc>
          <w:tcPr>
            <w:tcW w:w="167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省、设区市、县（市、区）市场监管部门</w:t>
            </w:r>
          </w:p>
        </w:tc>
        <w:tc>
          <w:tcPr>
            <w:tcW w:w="5002"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《食品安全法》</w:t>
            </w:r>
          </w:p>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《国务院关于取消和下放一批行政审批项目的决定》（国发〔2014〕75号）</w:t>
            </w:r>
          </w:p>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《食品生产许可管理办法》（食品药品监管总局令第16号)</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240" w:lineRule="exact"/>
              <w:rPr>
                <w:rFonts w:ascii="宋体" w:hAnsi="宋体" w:eastAsia="宋体" w:cs="宋体"/>
                <w:sz w:val="18"/>
                <w:szCs w:val="18"/>
              </w:rPr>
            </w:pPr>
            <w:r>
              <w:rPr>
                <w:rFonts w:hint="eastAsia"/>
                <w:sz w:val="18"/>
                <w:szCs w:val="18"/>
              </w:rPr>
              <w:t>食品生产</w:t>
            </w:r>
          </w:p>
        </w:tc>
      </w:tr>
      <w:tr>
        <w:tblPrEx>
          <w:tblCellMar>
            <w:top w:w="0" w:type="dxa"/>
            <w:left w:w="108" w:type="dxa"/>
            <w:bottom w:w="0" w:type="dxa"/>
            <w:right w:w="108" w:type="dxa"/>
          </w:tblCellMar>
        </w:tblPrEx>
        <w:trPr>
          <w:cantSplit/>
          <w:trHeight w:val="522" w:hRule="atLeast"/>
          <w:jc w:val="center"/>
        </w:trPr>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kern w:val="0"/>
                <w:sz w:val="18"/>
                <w:szCs w:val="18"/>
              </w:rPr>
            </w:pPr>
            <w:r>
              <w:rPr>
                <w:rFonts w:hint="eastAsia" w:ascii="宋体" w:hAnsi="宋体" w:eastAsia="宋体" w:cs="宋体"/>
                <w:kern w:val="0"/>
                <w:sz w:val="18"/>
                <w:szCs w:val="18"/>
              </w:rPr>
              <w:t>134</w:t>
            </w:r>
          </w:p>
        </w:tc>
        <w:tc>
          <w:tcPr>
            <w:tcW w:w="1116"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食品经营许可</w:t>
            </w:r>
          </w:p>
        </w:tc>
        <w:tc>
          <w:tcPr>
            <w:tcW w:w="167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设区市、县（市、区）市场监管部门</w:t>
            </w:r>
          </w:p>
        </w:tc>
        <w:tc>
          <w:tcPr>
            <w:tcW w:w="5002"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《食品安全法》</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240" w:lineRule="exact"/>
              <w:rPr>
                <w:rFonts w:ascii="宋体" w:hAnsi="宋体" w:eastAsia="宋体" w:cs="宋体"/>
                <w:sz w:val="18"/>
                <w:szCs w:val="18"/>
              </w:rPr>
            </w:pPr>
            <w:r>
              <w:rPr>
                <w:rFonts w:hint="eastAsia"/>
                <w:sz w:val="18"/>
                <w:szCs w:val="18"/>
              </w:rPr>
              <w:t>食品经营</w:t>
            </w:r>
          </w:p>
        </w:tc>
      </w:tr>
      <w:tr>
        <w:tblPrEx>
          <w:tblCellMar>
            <w:top w:w="0" w:type="dxa"/>
            <w:left w:w="108" w:type="dxa"/>
            <w:bottom w:w="0" w:type="dxa"/>
            <w:right w:w="108" w:type="dxa"/>
          </w:tblCellMar>
        </w:tblPrEx>
        <w:trPr>
          <w:cantSplit/>
          <w:trHeight w:val="692" w:hRule="atLeast"/>
          <w:jc w:val="center"/>
        </w:trPr>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kern w:val="0"/>
                <w:sz w:val="18"/>
                <w:szCs w:val="18"/>
              </w:rPr>
            </w:pPr>
            <w:r>
              <w:rPr>
                <w:rFonts w:hint="eastAsia" w:ascii="宋体" w:hAnsi="宋体" w:eastAsia="宋体" w:cs="宋体"/>
                <w:kern w:val="0"/>
                <w:sz w:val="18"/>
                <w:szCs w:val="18"/>
              </w:rPr>
              <w:t>135</w:t>
            </w:r>
          </w:p>
        </w:tc>
        <w:tc>
          <w:tcPr>
            <w:tcW w:w="1116"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保健食品生产企业许可证核发</w:t>
            </w:r>
          </w:p>
        </w:tc>
        <w:tc>
          <w:tcPr>
            <w:tcW w:w="167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省市场监管局</w:t>
            </w:r>
          </w:p>
        </w:tc>
        <w:tc>
          <w:tcPr>
            <w:tcW w:w="5002"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《食品安全法》</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240" w:lineRule="exact"/>
              <w:rPr>
                <w:rFonts w:ascii="宋体" w:hAnsi="宋体" w:eastAsia="宋体" w:cs="宋体"/>
                <w:sz w:val="18"/>
                <w:szCs w:val="18"/>
              </w:rPr>
            </w:pPr>
            <w:r>
              <w:rPr>
                <w:rFonts w:hint="eastAsia"/>
                <w:sz w:val="18"/>
                <w:szCs w:val="18"/>
              </w:rPr>
              <w:t>保健食品生产</w:t>
            </w:r>
          </w:p>
        </w:tc>
      </w:tr>
      <w:tr>
        <w:tblPrEx>
          <w:tblCellMar>
            <w:top w:w="0" w:type="dxa"/>
            <w:left w:w="108" w:type="dxa"/>
            <w:bottom w:w="0" w:type="dxa"/>
            <w:right w:w="108" w:type="dxa"/>
          </w:tblCellMar>
        </w:tblPrEx>
        <w:trPr>
          <w:cantSplit/>
          <w:trHeight w:val="503" w:hRule="atLeast"/>
          <w:jc w:val="center"/>
        </w:trPr>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kern w:val="0"/>
                <w:sz w:val="18"/>
                <w:szCs w:val="18"/>
              </w:rPr>
            </w:pPr>
            <w:r>
              <w:rPr>
                <w:rFonts w:hint="eastAsia" w:ascii="宋体" w:hAnsi="宋体" w:eastAsia="宋体" w:cs="宋体"/>
                <w:kern w:val="0"/>
                <w:sz w:val="18"/>
                <w:szCs w:val="18"/>
              </w:rPr>
              <w:t>136</w:t>
            </w:r>
          </w:p>
        </w:tc>
        <w:tc>
          <w:tcPr>
            <w:tcW w:w="1116"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第三类医疗器械经营许可</w:t>
            </w:r>
          </w:p>
        </w:tc>
        <w:tc>
          <w:tcPr>
            <w:tcW w:w="167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设区市市场监管部门</w:t>
            </w:r>
          </w:p>
        </w:tc>
        <w:tc>
          <w:tcPr>
            <w:tcW w:w="5002"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《医疗器械监督管理条例》(国务院令第650号)</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240" w:lineRule="exact"/>
              <w:rPr>
                <w:rFonts w:ascii="宋体" w:hAnsi="宋体" w:eastAsia="宋体" w:cs="宋体"/>
                <w:sz w:val="18"/>
                <w:szCs w:val="18"/>
              </w:rPr>
            </w:pPr>
            <w:r>
              <w:rPr>
                <w:rFonts w:hint="eastAsia"/>
                <w:sz w:val="18"/>
                <w:szCs w:val="18"/>
              </w:rPr>
              <w:t>医疗器械经营</w:t>
            </w:r>
          </w:p>
        </w:tc>
      </w:tr>
      <w:tr>
        <w:tblPrEx>
          <w:tblCellMar>
            <w:top w:w="0" w:type="dxa"/>
            <w:left w:w="108" w:type="dxa"/>
            <w:bottom w:w="0" w:type="dxa"/>
            <w:right w:w="108" w:type="dxa"/>
          </w:tblCellMar>
        </w:tblPrEx>
        <w:trPr>
          <w:cantSplit/>
          <w:trHeight w:val="503" w:hRule="atLeast"/>
          <w:jc w:val="center"/>
        </w:trPr>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kern w:val="0"/>
                <w:sz w:val="18"/>
                <w:szCs w:val="18"/>
              </w:rPr>
            </w:pPr>
            <w:r>
              <w:rPr>
                <w:rFonts w:hint="eastAsia" w:ascii="宋体" w:hAnsi="宋体" w:eastAsia="宋体" w:cs="宋体"/>
                <w:kern w:val="0"/>
                <w:sz w:val="18"/>
                <w:szCs w:val="18"/>
              </w:rPr>
              <w:t>137</w:t>
            </w:r>
          </w:p>
        </w:tc>
        <w:tc>
          <w:tcPr>
            <w:tcW w:w="1116"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药品生产许可</w:t>
            </w:r>
          </w:p>
        </w:tc>
        <w:tc>
          <w:tcPr>
            <w:tcW w:w="167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省药品监管局</w:t>
            </w:r>
          </w:p>
        </w:tc>
        <w:tc>
          <w:tcPr>
            <w:tcW w:w="5002"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《中华人民共和国药品管理法》</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240" w:lineRule="exact"/>
              <w:rPr>
                <w:rFonts w:ascii="宋体" w:hAnsi="宋体" w:eastAsia="宋体" w:cs="宋体"/>
                <w:sz w:val="18"/>
                <w:szCs w:val="18"/>
              </w:rPr>
            </w:pPr>
            <w:r>
              <w:rPr>
                <w:rFonts w:hint="eastAsia"/>
                <w:sz w:val="18"/>
                <w:szCs w:val="18"/>
              </w:rPr>
              <w:t>药品生产</w:t>
            </w:r>
          </w:p>
        </w:tc>
      </w:tr>
      <w:tr>
        <w:tblPrEx>
          <w:tblCellMar>
            <w:top w:w="0" w:type="dxa"/>
            <w:left w:w="108" w:type="dxa"/>
            <w:bottom w:w="0" w:type="dxa"/>
            <w:right w:w="108" w:type="dxa"/>
          </w:tblCellMar>
        </w:tblPrEx>
        <w:trPr>
          <w:cantSplit/>
          <w:trHeight w:val="503" w:hRule="atLeast"/>
          <w:jc w:val="center"/>
        </w:trPr>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138</w:t>
            </w:r>
          </w:p>
        </w:tc>
        <w:tc>
          <w:tcPr>
            <w:tcW w:w="1116"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药品经营许可</w:t>
            </w:r>
          </w:p>
        </w:tc>
        <w:tc>
          <w:tcPr>
            <w:tcW w:w="167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省药品监管局、设区市市场监管部门</w:t>
            </w:r>
          </w:p>
        </w:tc>
        <w:tc>
          <w:tcPr>
            <w:tcW w:w="5002"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《中华人民共和国药品管理法》</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240" w:lineRule="exact"/>
              <w:rPr>
                <w:rFonts w:ascii="宋体" w:hAnsi="宋体" w:eastAsia="宋体" w:cs="宋体"/>
                <w:sz w:val="18"/>
                <w:szCs w:val="18"/>
              </w:rPr>
            </w:pPr>
            <w:r>
              <w:rPr>
                <w:rFonts w:hint="eastAsia"/>
                <w:sz w:val="18"/>
                <w:szCs w:val="18"/>
              </w:rPr>
              <w:t>药品批发、药品零售</w:t>
            </w:r>
          </w:p>
        </w:tc>
      </w:tr>
      <w:tr>
        <w:tblPrEx>
          <w:tblCellMar>
            <w:top w:w="0" w:type="dxa"/>
            <w:left w:w="108" w:type="dxa"/>
            <w:bottom w:w="0" w:type="dxa"/>
            <w:right w:w="108" w:type="dxa"/>
          </w:tblCellMar>
        </w:tblPrEx>
        <w:trPr>
          <w:cantSplit/>
          <w:trHeight w:val="503" w:hRule="atLeast"/>
          <w:jc w:val="center"/>
        </w:trPr>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139</w:t>
            </w:r>
          </w:p>
        </w:tc>
        <w:tc>
          <w:tcPr>
            <w:tcW w:w="1116"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第二类、第三类医疗器械生产许可</w:t>
            </w:r>
          </w:p>
        </w:tc>
        <w:tc>
          <w:tcPr>
            <w:tcW w:w="167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省药品监管局</w:t>
            </w:r>
          </w:p>
        </w:tc>
        <w:tc>
          <w:tcPr>
            <w:tcW w:w="5002"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《医疗器械监督管理条例》(国务院令第650号)</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240" w:lineRule="exact"/>
              <w:rPr>
                <w:rFonts w:ascii="宋体" w:hAnsi="宋体" w:eastAsia="宋体" w:cs="宋体"/>
                <w:sz w:val="18"/>
                <w:szCs w:val="18"/>
              </w:rPr>
            </w:pPr>
            <w:r>
              <w:rPr>
                <w:rFonts w:hint="eastAsia"/>
                <w:sz w:val="18"/>
                <w:szCs w:val="18"/>
              </w:rPr>
              <w:t>医疗器械生产</w:t>
            </w:r>
          </w:p>
        </w:tc>
      </w:tr>
      <w:tr>
        <w:tblPrEx>
          <w:tblCellMar>
            <w:top w:w="0" w:type="dxa"/>
            <w:left w:w="108" w:type="dxa"/>
            <w:bottom w:w="0" w:type="dxa"/>
            <w:right w:w="108" w:type="dxa"/>
          </w:tblCellMar>
        </w:tblPrEx>
        <w:trPr>
          <w:cantSplit/>
          <w:trHeight w:val="865" w:hRule="atLeast"/>
          <w:jc w:val="center"/>
        </w:trPr>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140</w:t>
            </w:r>
          </w:p>
        </w:tc>
        <w:tc>
          <w:tcPr>
            <w:tcW w:w="1116"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化妆品生产许可</w:t>
            </w:r>
          </w:p>
        </w:tc>
        <w:tc>
          <w:tcPr>
            <w:tcW w:w="167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省药品监管局</w:t>
            </w:r>
          </w:p>
        </w:tc>
        <w:tc>
          <w:tcPr>
            <w:tcW w:w="5002"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《化妆品卫生监督条例》</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240" w:lineRule="exact"/>
              <w:rPr>
                <w:rFonts w:ascii="宋体" w:hAnsi="宋体" w:eastAsia="宋体" w:cs="宋体"/>
                <w:sz w:val="18"/>
                <w:szCs w:val="18"/>
              </w:rPr>
            </w:pPr>
            <w:r>
              <w:rPr>
                <w:rFonts w:hint="eastAsia"/>
                <w:sz w:val="18"/>
                <w:szCs w:val="18"/>
              </w:rPr>
              <w:t>化妆品生产</w:t>
            </w:r>
          </w:p>
        </w:tc>
      </w:tr>
      <w:tr>
        <w:tblPrEx>
          <w:tblCellMar>
            <w:top w:w="0" w:type="dxa"/>
            <w:left w:w="108" w:type="dxa"/>
            <w:bottom w:w="0" w:type="dxa"/>
            <w:right w:w="108" w:type="dxa"/>
          </w:tblCellMar>
        </w:tblPrEx>
        <w:trPr>
          <w:cantSplit/>
          <w:trHeight w:val="1198" w:hRule="atLeast"/>
          <w:jc w:val="center"/>
        </w:trPr>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kern w:val="0"/>
                <w:sz w:val="18"/>
                <w:szCs w:val="18"/>
              </w:rPr>
            </w:pPr>
            <w:r>
              <w:rPr>
                <w:rFonts w:hint="eastAsia" w:ascii="宋体" w:hAnsi="宋体" w:eastAsia="宋体" w:cs="宋体"/>
                <w:kern w:val="0"/>
                <w:sz w:val="18"/>
                <w:szCs w:val="18"/>
              </w:rPr>
              <w:t>141</w:t>
            </w:r>
          </w:p>
        </w:tc>
        <w:tc>
          <w:tcPr>
            <w:tcW w:w="1116"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药品、医疗器械互联网信息服务审批</w:t>
            </w:r>
          </w:p>
        </w:tc>
        <w:tc>
          <w:tcPr>
            <w:tcW w:w="167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省药品监管局</w:t>
            </w:r>
          </w:p>
        </w:tc>
        <w:tc>
          <w:tcPr>
            <w:tcW w:w="5002"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《互联网药品信息服务管理办法》（国务院令第292号)</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240" w:lineRule="exact"/>
              <w:rPr>
                <w:rFonts w:ascii="宋体" w:hAnsi="宋体" w:eastAsia="宋体" w:cs="宋体"/>
                <w:sz w:val="18"/>
                <w:szCs w:val="18"/>
              </w:rPr>
            </w:pPr>
            <w:r>
              <w:rPr>
                <w:rFonts w:hint="eastAsia"/>
                <w:sz w:val="18"/>
                <w:szCs w:val="18"/>
              </w:rPr>
              <w:t>互联网药品信息、互联网医疗器械信息</w:t>
            </w:r>
          </w:p>
        </w:tc>
      </w:tr>
      <w:tr>
        <w:tblPrEx>
          <w:tblCellMar>
            <w:top w:w="0" w:type="dxa"/>
            <w:left w:w="108" w:type="dxa"/>
            <w:bottom w:w="0" w:type="dxa"/>
            <w:right w:w="108" w:type="dxa"/>
          </w:tblCellMar>
        </w:tblPrEx>
        <w:trPr>
          <w:cantSplit/>
          <w:trHeight w:val="801" w:hRule="atLeast"/>
          <w:jc w:val="center"/>
        </w:trPr>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kern w:val="0"/>
                <w:sz w:val="18"/>
                <w:szCs w:val="18"/>
              </w:rPr>
            </w:pPr>
            <w:r>
              <w:rPr>
                <w:rFonts w:hint="eastAsia" w:ascii="宋体" w:hAnsi="宋体" w:eastAsia="宋体" w:cs="宋体"/>
                <w:kern w:val="0"/>
                <w:sz w:val="18"/>
                <w:szCs w:val="18"/>
              </w:rPr>
              <w:t>142</w:t>
            </w:r>
          </w:p>
        </w:tc>
        <w:tc>
          <w:tcPr>
            <w:tcW w:w="1116"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专利代理机构设立审批</w:t>
            </w:r>
          </w:p>
        </w:tc>
        <w:tc>
          <w:tcPr>
            <w:tcW w:w="1673"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国家知识产权局</w:t>
            </w:r>
          </w:p>
        </w:tc>
        <w:tc>
          <w:tcPr>
            <w:tcW w:w="5002"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《专利法》</w:t>
            </w:r>
          </w:p>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《专利代理条例》（国务院令第76号）</w:t>
            </w:r>
          </w:p>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《专利代理管理办法》（国家知识产权局令第70号）</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180" w:lineRule="exact"/>
              <w:rPr>
                <w:rFonts w:ascii="宋体" w:hAnsi="宋体" w:eastAsia="宋体" w:cs="宋体"/>
                <w:sz w:val="18"/>
                <w:szCs w:val="18"/>
              </w:rPr>
            </w:pPr>
            <w:r>
              <w:rPr>
                <w:rFonts w:hint="eastAsia"/>
                <w:sz w:val="18"/>
                <w:szCs w:val="18"/>
              </w:rPr>
              <w:t>专利代理</w:t>
            </w:r>
          </w:p>
        </w:tc>
      </w:tr>
      <w:tr>
        <w:tblPrEx>
          <w:tblCellMar>
            <w:top w:w="0" w:type="dxa"/>
            <w:left w:w="108" w:type="dxa"/>
            <w:bottom w:w="0" w:type="dxa"/>
            <w:right w:w="108" w:type="dxa"/>
          </w:tblCellMar>
        </w:tblPrEx>
        <w:trPr>
          <w:cantSplit/>
          <w:trHeight w:val="424" w:hRule="atLeast"/>
          <w:jc w:val="center"/>
        </w:trPr>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00" w:lineRule="exact"/>
              <w:jc w:val="center"/>
              <w:rPr>
                <w:rFonts w:ascii="宋体" w:hAnsi="宋体" w:eastAsia="宋体" w:cs="宋体"/>
                <w:b/>
                <w:bCs/>
                <w:kern w:val="0"/>
                <w:sz w:val="18"/>
                <w:szCs w:val="18"/>
              </w:rPr>
            </w:pPr>
            <w:r>
              <w:rPr>
                <w:rFonts w:hint="eastAsia" w:ascii="宋体" w:hAnsi="宋体" w:eastAsia="宋体" w:cs="宋体"/>
                <w:b/>
                <w:bCs/>
                <w:kern w:val="0"/>
                <w:sz w:val="18"/>
                <w:szCs w:val="18"/>
              </w:rPr>
              <w:t>序号</w:t>
            </w:r>
          </w:p>
        </w:tc>
        <w:tc>
          <w:tcPr>
            <w:tcW w:w="1116" w:type="dxa"/>
            <w:tcBorders>
              <w:top w:val="single" w:color="auto" w:sz="4" w:space="0"/>
              <w:left w:val="nil"/>
              <w:bottom w:val="single" w:color="auto" w:sz="4" w:space="0"/>
              <w:right w:val="single" w:color="auto" w:sz="4" w:space="0"/>
            </w:tcBorders>
            <w:shd w:val="clear" w:color="000000" w:fill="FFFFFF"/>
            <w:vAlign w:val="center"/>
          </w:tcPr>
          <w:p>
            <w:pPr>
              <w:widowControl/>
              <w:spacing w:line="200" w:lineRule="exact"/>
              <w:jc w:val="center"/>
              <w:rPr>
                <w:rFonts w:ascii="宋体" w:hAnsi="宋体" w:eastAsia="宋体" w:cs="宋体"/>
                <w:b/>
                <w:bCs/>
                <w:kern w:val="0"/>
                <w:sz w:val="18"/>
                <w:szCs w:val="18"/>
              </w:rPr>
            </w:pPr>
            <w:r>
              <w:rPr>
                <w:rFonts w:hint="eastAsia" w:ascii="宋体" w:hAnsi="宋体" w:eastAsia="宋体" w:cs="宋体"/>
                <w:b/>
                <w:bCs/>
                <w:kern w:val="0"/>
                <w:sz w:val="18"/>
                <w:szCs w:val="18"/>
              </w:rPr>
              <w:t>项目名称</w:t>
            </w:r>
          </w:p>
        </w:tc>
        <w:tc>
          <w:tcPr>
            <w:tcW w:w="1673" w:type="dxa"/>
            <w:tcBorders>
              <w:top w:val="single" w:color="auto" w:sz="4" w:space="0"/>
              <w:left w:val="nil"/>
              <w:bottom w:val="single" w:color="auto" w:sz="4" w:space="0"/>
              <w:right w:val="single" w:color="auto" w:sz="4" w:space="0"/>
            </w:tcBorders>
            <w:shd w:val="clear" w:color="000000" w:fill="FFFFFF"/>
            <w:vAlign w:val="center"/>
          </w:tcPr>
          <w:p>
            <w:pPr>
              <w:widowControl/>
              <w:spacing w:line="200" w:lineRule="exact"/>
              <w:jc w:val="center"/>
              <w:rPr>
                <w:rFonts w:ascii="宋体" w:hAnsi="宋体" w:eastAsia="宋体" w:cs="宋体"/>
                <w:b/>
                <w:bCs/>
                <w:kern w:val="0"/>
                <w:sz w:val="18"/>
                <w:szCs w:val="18"/>
              </w:rPr>
            </w:pPr>
            <w:r>
              <w:rPr>
                <w:rFonts w:hint="eastAsia" w:ascii="宋体" w:hAnsi="宋体" w:eastAsia="宋体" w:cs="宋体"/>
                <w:b/>
                <w:bCs/>
                <w:kern w:val="0"/>
                <w:sz w:val="18"/>
                <w:szCs w:val="18"/>
              </w:rPr>
              <w:t>实施机关</w:t>
            </w:r>
          </w:p>
        </w:tc>
        <w:tc>
          <w:tcPr>
            <w:tcW w:w="5002" w:type="dxa"/>
            <w:tcBorders>
              <w:top w:val="single" w:color="auto" w:sz="4" w:space="0"/>
              <w:left w:val="nil"/>
              <w:bottom w:val="single" w:color="auto" w:sz="4" w:space="0"/>
              <w:right w:val="single" w:color="auto" w:sz="4" w:space="0"/>
            </w:tcBorders>
            <w:shd w:val="clear" w:color="000000" w:fill="FFFFFF"/>
            <w:vAlign w:val="center"/>
          </w:tcPr>
          <w:p>
            <w:pPr>
              <w:widowControl/>
              <w:spacing w:line="200" w:lineRule="exact"/>
              <w:jc w:val="center"/>
              <w:rPr>
                <w:rFonts w:ascii="宋体" w:hAnsi="宋体" w:eastAsia="宋体" w:cs="宋体"/>
                <w:b/>
                <w:bCs/>
                <w:kern w:val="0"/>
                <w:sz w:val="18"/>
                <w:szCs w:val="18"/>
              </w:rPr>
            </w:pPr>
            <w:r>
              <w:rPr>
                <w:rFonts w:hint="eastAsia" w:ascii="宋体" w:hAnsi="宋体" w:eastAsia="宋体" w:cs="宋体"/>
                <w:b/>
                <w:bCs/>
                <w:kern w:val="0"/>
                <w:sz w:val="18"/>
                <w:szCs w:val="18"/>
              </w:rPr>
              <w:t xml:space="preserve">设定依据                                                                                         </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200" w:lineRule="exact"/>
              <w:rPr>
                <w:rFonts w:ascii="宋体" w:hAnsi="宋体" w:eastAsia="宋体" w:cs="宋体"/>
                <w:sz w:val="18"/>
                <w:szCs w:val="18"/>
              </w:rPr>
            </w:pPr>
            <w:r>
              <w:rPr>
                <w:rFonts w:hint="eastAsia" w:ascii="宋体" w:hAnsi="宋体" w:eastAsia="宋体" w:cs="宋体"/>
                <w:b/>
                <w:bCs/>
                <w:kern w:val="0"/>
                <w:sz w:val="18"/>
                <w:szCs w:val="18"/>
              </w:rPr>
              <w:t>检索关键词</w:t>
            </w:r>
          </w:p>
        </w:tc>
      </w:tr>
      <w:tr>
        <w:tblPrEx>
          <w:tblCellMar>
            <w:top w:w="0" w:type="dxa"/>
            <w:left w:w="108" w:type="dxa"/>
            <w:bottom w:w="0" w:type="dxa"/>
            <w:right w:w="108" w:type="dxa"/>
          </w:tblCellMar>
        </w:tblPrEx>
        <w:trPr>
          <w:cantSplit/>
          <w:trHeight w:val="1281" w:hRule="atLeast"/>
          <w:jc w:val="center"/>
        </w:trPr>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kern w:val="0"/>
                <w:sz w:val="18"/>
                <w:szCs w:val="18"/>
              </w:rPr>
            </w:pPr>
            <w:r>
              <w:rPr>
                <w:rFonts w:hint="eastAsia" w:ascii="宋体" w:hAnsi="宋体" w:eastAsia="宋体" w:cs="宋体"/>
                <w:kern w:val="0"/>
                <w:sz w:val="18"/>
                <w:szCs w:val="18"/>
              </w:rPr>
              <w:t>143</w:t>
            </w:r>
          </w:p>
        </w:tc>
        <w:tc>
          <w:tcPr>
            <w:tcW w:w="1116" w:type="dxa"/>
            <w:tcBorders>
              <w:top w:val="single" w:color="auto" w:sz="4" w:space="0"/>
              <w:left w:val="nil"/>
              <w:bottom w:val="single" w:color="auto" w:sz="4" w:space="0"/>
              <w:right w:val="single" w:color="auto" w:sz="4" w:space="0"/>
            </w:tcBorders>
            <w:shd w:val="clear" w:color="000000" w:fill="FFFFFF"/>
            <w:vAlign w:val="center"/>
          </w:tcPr>
          <w:p>
            <w:pPr>
              <w:widowControl/>
              <w:spacing w:line="200" w:lineRule="exact"/>
              <w:jc w:val="left"/>
              <w:rPr>
                <w:rFonts w:ascii="宋体" w:hAnsi="宋体" w:eastAsia="宋体" w:cs="宋体"/>
                <w:bCs/>
                <w:kern w:val="0"/>
                <w:sz w:val="18"/>
                <w:szCs w:val="18"/>
              </w:rPr>
            </w:pPr>
            <w:r>
              <w:rPr>
                <w:rFonts w:ascii="宋体" w:hAnsi="宋体" w:eastAsia="宋体" w:cs="宋体"/>
                <w:bCs/>
                <w:kern w:val="0"/>
                <w:sz w:val="18"/>
                <w:szCs w:val="18"/>
              </w:rPr>
              <w:t>设立中外合资、合作印刷企业和外商独资包装装潢印刷企业审批</w:t>
            </w:r>
          </w:p>
        </w:tc>
        <w:tc>
          <w:tcPr>
            <w:tcW w:w="1673" w:type="dxa"/>
            <w:tcBorders>
              <w:top w:val="single" w:color="auto" w:sz="4" w:space="0"/>
              <w:left w:val="nil"/>
              <w:bottom w:val="single" w:color="auto" w:sz="4" w:space="0"/>
              <w:right w:val="single" w:color="auto" w:sz="4" w:space="0"/>
            </w:tcBorders>
            <w:shd w:val="clear" w:color="000000" w:fill="FFFFFF"/>
            <w:vAlign w:val="center"/>
          </w:tcPr>
          <w:p>
            <w:pPr>
              <w:widowControl/>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省新闻出版局</w:t>
            </w:r>
          </w:p>
        </w:tc>
        <w:tc>
          <w:tcPr>
            <w:tcW w:w="5002" w:type="dxa"/>
            <w:tcBorders>
              <w:top w:val="single" w:color="auto" w:sz="4" w:space="0"/>
              <w:left w:val="nil"/>
              <w:bottom w:val="single" w:color="auto" w:sz="4" w:space="0"/>
              <w:right w:val="single" w:color="auto" w:sz="4" w:space="0"/>
            </w:tcBorders>
            <w:shd w:val="clear" w:color="000000" w:fill="FFFFFF"/>
            <w:vAlign w:val="center"/>
          </w:tcPr>
          <w:p>
            <w:pPr>
              <w:widowControl/>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《印刷业管理条例》（国务院令第315号）</w:t>
            </w:r>
          </w:p>
          <w:p>
            <w:pPr>
              <w:widowControl/>
              <w:spacing w:line="200" w:lineRule="exact"/>
              <w:jc w:val="left"/>
              <w:rPr>
                <w:rFonts w:ascii="宋体" w:hAnsi="宋体" w:eastAsia="宋体" w:cs="宋体"/>
                <w:bCs/>
                <w:kern w:val="0"/>
                <w:sz w:val="18"/>
                <w:szCs w:val="18"/>
              </w:rPr>
            </w:pPr>
            <w:r>
              <w:rPr>
                <w:rFonts w:hint="eastAsia" w:ascii="宋体" w:hAnsi="宋体" w:eastAsia="宋体" w:cs="宋体"/>
                <w:bCs/>
                <w:kern w:val="0"/>
                <w:sz w:val="18"/>
                <w:szCs w:val="18"/>
              </w:rPr>
              <w:t>《国务院关于进一步消减工商登记前置审批事项的决定》（国发〔2017〕32号）</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200" w:lineRule="exact"/>
              <w:rPr>
                <w:rFonts w:ascii="宋体" w:hAnsi="宋体" w:eastAsia="宋体" w:cs="宋体"/>
                <w:bCs/>
                <w:kern w:val="0"/>
                <w:sz w:val="18"/>
                <w:szCs w:val="18"/>
              </w:rPr>
            </w:pPr>
            <w:r>
              <w:rPr>
                <w:rFonts w:hint="eastAsia" w:ascii="宋体" w:hAnsi="宋体" w:eastAsia="宋体" w:cs="宋体"/>
                <w:bCs/>
                <w:kern w:val="0"/>
                <w:sz w:val="18"/>
                <w:szCs w:val="18"/>
              </w:rPr>
              <w:t>印刷、印刷品、出版物、包装装潢</w:t>
            </w:r>
          </w:p>
        </w:tc>
      </w:tr>
      <w:tr>
        <w:tblPrEx>
          <w:tblCellMar>
            <w:top w:w="0" w:type="dxa"/>
            <w:left w:w="108" w:type="dxa"/>
            <w:bottom w:w="0" w:type="dxa"/>
            <w:right w:w="108" w:type="dxa"/>
          </w:tblCellMar>
        </w:tblPrEx>
        <w:trPr>
          <w:cantSplit/>
          <w:trHeight w:val="938" w:hRule="atLeast"/>
          <w:jc w:val="center"/>
        </w:trPr>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kern w:val="0"/>
                <w:sz w:val="18"/>
                <w:szCs w:val="18"/>
              </w:rPr>
            </w:pPr>
            <w:r>
              <w:rPr>
                <w:rFonts w:hint="eastAsia" w:ascii="宋体" w:hAnsi="宋体" w:eastAsia="宋体" w:cs="宋体"/>
                <w:kern w:val="0"/>
                <w:sz w:val="18"/>
                <w:szCs w:val="18"/>
              </w:rPr>
              <w:t>144</w:t>
            </w:r>
          </w:p>
        </w:tc>
        <w:tc>
          <w:tcPr>
            <w:tcW w:w="1116" w:type="dxa"/>
            <w:tcBorders>
              <w:top w:val="single" w:color="auto" w:sz="4" w:space="0"/>
              <w:left w:val="nil"/>
              <w:bottom w:val="single" w:color="auto" w:sz="4" w:space="0"/>
              <w:right w:val="single" w:color="auto" w:sz="4" w:space="0"/>
            </w:tcBorders>
            <w:shd w:val="clear" w:color="000000" w:fill="FFFFFF"/>
            <w:vAlign w:val="center"/>
          </w:tcPr>
          <w:p>
            <w:pPr>
              <w:widowControl/>
              <w:spacing w:line="200" w:lineRule="exact"/>
              <w:jc w:val="left"/>
              <w:rPr>
                <w:rFonts w:ascii="宋体" w:hAnsi="宋体" w:eastAsia="宋体" w:cs="宋体"/>
                <w:bCs/>
                <w:kern w:val="0"/>
                <w:sz w:val="18"/>
                <w:szCs w:val="18"/>
              </w:rPr>
            </w:pPr>
            <w:r>
              <w:rPr>
                <w:rFonts w:hint="eastAsia" w:ascii="宋体" w:hAnsi="宋体" w:eastAsia="宋体" w:cs="宋体"/>
                <w:bCs/>
                <w:kern w:val="0"/>
                <w:sz w:val="18"/>
                <w:szCs w:val="18"/>
              </w:rPr>
              <w:t>设立</w:t>
            </w:r>
            <w:r>
              <w:rPr>
                <w:rFonts w:ascii="宋体" w:hAnsi="宋体" w:eastAsia="宋体" w:cs="宋体"/>
                <w:bCs/>
                <w:kern w:val="0"/>
                <w:sz w:val="18"/>
                <w:szCs w:val="18"/>
              </w:rPr>
              <w:t>从事出版物印刷经营活动的企业审批</w:t>
            </w:r>
          </w:p>
        </w:tc>
        <w:tc>
          <w:tcPr>
            <w:tcW w:w="1673" w:type="dxa"/>
            <w:tcBorders>
              <w:top w:val="single" w:color="auto" w:sz="4" w:space="0"/>
              <w:left w:val="nil"/>
              <w:bottom w:val="single" w:color="auto" w:sz="4" w:space="0"/>
              <w:right w:val="single" w:color="auto" w:sz="4" w:space="0"/>
            </w:tcBorders>
            <w:shd w:val="clear" w:color="000000" w:fill="FFFFFF"/>
            <w:vAlign w:val="center"/>
          </w:tcPr>
          <w:p>
            <w:pPr>
              <w:widowControl/>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省新闻出版局</w:t>
            </w:r>
          </w:p>
        </w:tc>
        <w:tc>
          <w:tcPr>
            <w:tcW w:w="5002" w:type="dxa"/>
            <w:tcBorders>
              <w:top w:val="single" w:color="auto" w:sz="4" w:space="0"/>
              <w:left w:val="nil"/>
              <w:bottom w:val="single" w:color="auto" w:sz="4" w:space="0"/>
              <w:right w:val="single" w:color="auto" w:sz="4" w:space="0"/>
            </w:tcBorders>
            <w:shd w:val="clear" w:color="000000" w:fill="FFFFFF"/>
            <w:vAlign w:val="center"/>
          </w:tcPr>
          <w:p>
            <w:pPr>
              <w:widowControl/>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《印刷业管理条例》（国务院令第315号）</w:t>
            </w:r>
          </w:p>
          <w:p>
            <w:pPr>
              <w:widowControl/>
              <w:spacing w:line="200" w:lineRule="exact"/>
              <w:jc w:val="left"/>
              <w:rPr>
                <w:rFonts w:ascii="宋体" w:hAnsi="宋体" w:eastAsia="宋体" w:cs="宋体"/>
                <w:bCs/>
                <w:kern w:val="0"/>
                <w:sz w:val="18"/>
                <w:szCs w:val="18"/>
              </w:rPr>
            </w:pPr>
            <w:r>
              <w:rPr>
                <w:rFonts w:hint="eastAsia" w:ascii="宋体" w:hAnsi="宋体" w:eastAsia="宋体" w:cs="宋体"/>
                <w:bCs/>
                <w:kern w:val="0"/>
                <w:sz w:val="18"/>
                <w:szCs w:val="18"/>
              </w:rPr>
              <w:t>《国务院关于进一步消减工商登记前置审批事项的决定》（国发〔2017〕32号）</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200" w:lineRule="exact"/>
              <w:rPr>
                <w:rFonts w:ascii="宋体" w:hAnsi="宋体" w:eastAsia="宋体" w:cs="宋体"/>
                <w:bCs/>
                <w:kern w:val="0"/>
                <w:sz w:val="18"/>
                <w:szCs w:val="18"/>
              </w:rPr>
            </w:pPr>
            <w:r>
              <w:rPr>
                <w:rFonts w:hint="eastAsia" w:ascii="宋体" w:hAnsi="宋体" w:eastAsia="宋体" w:cs="宋体"/>
                <w:bCs/>
                <w:kern w:val="0"/>
                <w:sz w:val="18"/>
                <w:szCs w:val="18"/>
              </w:rPr>
              <w:t>出版物、印刷</w:t>
            </w:r>
          </w:p>
        </w:tc>
      </w:tr>
      <w:tr>
        <w:tblPrEx>
          <w:tblCellMar>
            <w:top w:w="0" w:type="dxa"/>
            <w:left w:w="108" w:type="dxa"/>
            <w:bottom w:w="0" w:type="dxa"/>
            <w:right w:w="108" w:type="dxa"/>
          </w:tblCellMar>
        </w:tblPrEx>
        <w:trPr>
          <w:cantSplit/>
          <w:trHeight w:val="1233" w:hRule="atLeast"/>
          <w:jc w:val="center"/>
        </w:trPr>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145</w:t>
            </w:r>
          </w:p>
        </w:tc>
        <w:tc>
          <w:tcPr>
            <w:tcW w:w="1116" w:type="dxa"/>
            <w:tcBorders>
              <w:top w:val="single" w:color="auto" w:sz="4" w:space="0"/>
              <w:left w:val="nil"/>
              <w:bottom w:val="single" w:color="auto" w:sz="4" w:space="0"/>
              <w:right w:val="single" w:color="auto" w:sz="4" w:space="0"/>
            </w:tcBorders>
            <w:shd w:val="clear" w:color="000000" w:fill="FFFFFF"/>
            <w:vAlign w:val="center"/>
          </w:tcPr>
          <w:p>
            <w:pPr>
              <w:widowControl/>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印刷业经营者兼营包装装潢和其他印刷品印刷经营活动审批</w:t>
            </w:r>
          </w:p>
        </w:tc>
        <w:tc>
          <w:tcPr>
            <w:tcW w:w="1673" w:type="dxa"/>
            <w:tcBorders>
              <w:top w:val="single" w:color="auto" w:sz="4" w:space="0"/>
              <w:left w:val="nil"/>
              <w:bottom w:val="single" w:color="auto" w:sz="4" w:space="0"/>
              <w:right w:val="single" w:color="auto" w:sz="4" w:space="0"/>
            </w:tcBorders>
            <w:shd w:val="clear" w:color="000000" w:fill="FFFFFF"/>
            <w:vAlign w:val="center"/>
          </w:tcPr>
          <w:p>
            <w:pPr>
              <w:widowControl/>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设区市新闻出版部门</w:t>
            </w:r>
          </w:p>
        </w:tc>
        <w:tc>
          <w:tcPr>
            <w:tcW w:w="5002" w:type="dxa"/>
            <w:tcBorders>
              <w:top w:val="single" w:color="auto" w:sz="4" w:space="0"/>
              <w:left w:val="nil"/>
              <w:bottom w:val="single" w:color="auto" w:sz="4" w:space="0"/>
              <w:right w:val="single" w:color="auto" w:sz="4" w:space="0"/>
            </w:tcBorders>
            <w:shd w:val="clear" w:color="000000" w:fill="FFFFFF"/>
            <w:vAlign w:val="center"/>
          </w:tcPr>
          <w:p>
            <w:pPr>
              <w:widowControl/>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《印刷业管理条例》（国务院令第315号）</w:t>
            </w:r>
          </w:p>
          <w:p>
            <w:pPr>
              <w:widowControl/>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《国务院关于第六批取消和调整行政审批项目的决定》（国发〔2012〕52号）</w:t>
            </w:r>
          </w:p>
          <w:p>
            <w:pPr>
              <w:widowControl/>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《国务院关于取消和调整一批行政审批项目等事项的决定》（国发〔2014〕50号）</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200" w:lineRule="exact"/>
              <w:rPr>
                <w:rFonts w:ascii="宋体" w:hAnsi="宋体" w:eastAsia="宋体" w:cs="宋体"/>
                <w:sz w:val="18"/>
                <w:szCs w:val="18"/>
              </w:rPr>
            </w:pPr>
            <w:r>
              <w:rPr>
                <w:rFonts w:hint="eastAsia"/>
                <w:sz w:val="18"/>
                <w:szCs w:val="18"/>
              </w:rPr>
              <w:t>印刷、包装装潢</w:t>
            </w:r>
          </w:p>
        </w:tc>
      </w:tr>
      <w:tr>
        <w:tblPrEx>
          <w:tblCellMar>
            <w:top w:w="0" w:type="dxa"/>
            <w:left w:w="108" w:type="dxa"/>
            <w:bottom w:w="0" w:type="dxa"/>
            <w:right w:w="108" w:type="dxa"/>
          </w:tblCellMar>
        </w:tblPrEx>
        <w:trPr>
          <w:cantSplit/>
          <w:trHeight w:val="1037" w:hRule="atLeast"/>
          <w:jc w:val="center"/>
        </w:trPr>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kern w:val="0"/>
                <w:sz w:val="18"/>
                <w:szCs w:val="18"/>
              </w:rPr>
            </w:pPr>
            <w:r>
              <w:rPr>
                <w:rFonts w:hint="eastAsia" w:ascii="宋体" w:hAnsi="宋体" w:eastAsia="宋体" w:cs="宋体"/>
                <w:kern w:val="0"/>
                <w:sz w:val="18"/>
                <w:szCs w:val="18"/>
              </w:rPr>
              <w:t>146</w:t>
            </w:r>
          </w:p>
        </w:tc>
        <w:tc>
          <w:tcPr>
            <w:tcW w:w="1116"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设立从事包装装潢印刷品和其他印刷品印刷经营活动的企业审批</w:t>
            </w:r>
          </w:p>
        </w:tc>
        <w:tc>
          <w:tcPr>
            <w:tcW w:w="1673"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设区市新闻出版部门</w:t>
            </w:r>
          </w:p>
        </w:tc>
        <w:tc>
          <w:tcPr>
            <w:tcW w:w="5002"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《印刷业管理条例》（国务院令第315号）</w:t>
            </w:r>
          </w:p>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《国务院关于第六批取消和调整行政审批项目的决定》（国发〔2012〕52号）</w:t>
            </w:r>
          </w:p>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《国务院关于取消和调整一批行政审批项目等事项的决定》（国发〔2014〕50号）</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180" w:lineRule="exact"/>
              <w:rPr>
                <w:sz w:val="18"/>
                <w:szCs w:val="18"/>
              </w:rPr>
            </w:pPr>
            <w:r>
              <w:rPr>
                <w:rFonts w:hint="eastAsia"/>
                <w:sz w:val="18"/>
                <w:szCs w:val="18"/>
              </w:rPr>
              <w:t>印刷</w:t>
            </w:r>
          </w:p>
        </w:tc>
      </w:tr>
      <w:tr>
        <w:tblPrEx>
          <w:tblCellMar>
            <w:top w:w="0" w:type="dxa"/>
            <w:left w:w="108" w:type="dxa"/>
            <w:bottom w:w="0" w:type="dxa"/>
            <w:right w:w="108" w:type="dxa"/>
          </w:tblCellMar>
        </w:tblPrEx>
        <w:trPr>
          <w:cantSplit/>
          <w:trHeight w:val="565" w:hRule="atLeast"/>
          <w:jc w:val="center"/>
        </w:trPr>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kern w:val="0"/>
                <w:sz w:val="18"/>
                <w:szCs w:val="18"/>
              </w:rPr>
            </w:pPr>
            <w:r>
              <w:rPr>
                <w:rFonts w:hint="eastAsia" w:ascii="宋体" w:hAnsi="宋体" w:eastAsia="宋体" w:cs="宋体"/>
                <w:kern w:val="0"/>
                <w:sz w:val="18"/>
                <w:szCs w:val="18"/>
              </w:rPr>
              <w:t>147</w:t>
            </w:r>
          </w:p>
        </w:tc>
        <w:tc>
          <w:tcPr>
            <w:tcW w:w="1116"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音像制作单位、电子出版物制作单位设立审批</w:t>
            </w:r>
          </w:p>
        </w:tc>
        <w:tc>
          <w:tcPr>
            <w:tcW w:w="1673"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省新闻出版局</w:t>
            </w:r>
          </w:p>
        </w:tc>
        <w:tc>
          <w:tcPr>
            <w:tcW w:w="5002"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《音像制品管理条例》（国务院令第595号）</w:t>
            </w:r>
          </w:p>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《国务院关于取消和调整一批行政审批项目等事项的决定》（国发〔2014〕50号）</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180" w:lineRule="exact"/>
              <w:rPr>
                <w:sz w:val="18"/>
                <w:szCs w:val="18"/>
              </w:rPr>
            </w:pPr>
            <w:r>
              <w:rPr>
                <w:rFonts w:hint="eastAsia"/>
                <w:sz w:val="18"/>
                <w:szCs w:val="18"/>
              </w:rPr>
              <w:t>音像制作、电子出版物制作</w:t>
            </w:r>
          </w:p>
        </w:tc>
      </w:tr>
      <w:tr>
        <w:tblPrEx>
          <w:tblCellMar>
            <w:top w:w="0" w:type="dxa"/>
            <w:left w:w="108" w:type="dxa"/>
            <w:bottom w:w="0" w:type="dxa"/>
            <w:right w:w="108" w:type="dxa"/>
          </w:tblCellMar>
        </w:tblPrEx>
        <w:trPr>
          <w:cantSplit/>
          <w:trHeight w:val="1111" w:hRule="atLeast"/>
          <w:jc w:val="center"/>
        </w:trPr>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148</w:t>
            </w:r>
          </w:p>
        </w:tc>
        <w:tc>
          <w:tcPr>
            <w:tcW w:w="1116" w:type="dxa"/>
            <w:tcBorders>
              <w:top w:val="single" w:color="auto" w:sz="4" w:space="0"/>
              <w:left w:val="nil"/>
              <w:bottom w:val="single" w:color="auto" w:sz="4" w:space="0"/>
              <w:right w:val="single" w:color="auto" w:sz="4" w:space="0"/>
            </w:tcBorders>
            <w:shd w:val="clear" w:color="000000" w:fill="FFFFFF"/>
            <w:vAlign w:val="center"/>
          </w:tcPr>
          <w:p>
            <w:pPr>
              <w:widowControl/>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从事音像制品复制业务、电子出版物复制单位设立审批</w:t>
            </w:r>
          </w:p>
        </w:tc>
        <w:tc>
          <w:tcPr>
            <w:tcW w:w="1673" w:type="dxa"/>
            <w:tcBorders>
              <w:top w:val="single" w:color="auto" w:sz="4" w:space="0"/>
              <w:left w:val="nil"/>
              <w:bottom w:val="single" w:color="auto" w:sz="4" w:space="0"/>
              <w:right w:val="single" w:color="auto" w:sz="4" w:space="0"/>
            </w:tcBorders>
            <w:shd w:val="clear" w:color="000000" w:fill="FFFFFF"/>
            <w:vAlign w:val="center"/>
          </w:tcPr>
          <w:p>
            <w:pPr>
              <w:widowControl/>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省新闻出版局</w:t>
            </w:r>
          </w:p>
        </w:tc>
        <w:tc>
          <w:tcPr>
            <w:tcW w:w="5002" w:type="dxa"/>
            <w:tcBorders>
              <w:top w:val="single" w:color="auto" w:sz="4" w:space="0"/>
              <w:left w:val="nil"/>
              <w:bottom w:val="single" w:color="auto" w:sz="4" w:space="0"/>
              <w:right w:val="single" w:color="auto" w:sz="4" w:space="0"/>
            </w:tcBorders>
            <w:shd w:val="clear" w:color="000000" w:fill="FFFFFF"/>
            <w:vAlign w:val="center"/>
          </w:tcPr>
          <w:p>
            <w:pPr>
              <w:widowControl/>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 xml:space="preserve">《音像制品管理条例》（国务院令第595号）                                                                                                         </w:t>
            </w:r>
          </w:p>
          <w:p>
            <w:pPr>
              <w:widowControl/>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《国务院关于取消和调整一批行政审批项目等事项的决定》（国发〔2014〕50号）</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200" w:lineRule="exact"/>
              <w:rPr>
                <w:rFonts w:ascii="宋体" w:hAnsi="宋体" w:eastAsia="宋体" w:cs="宋体"/>
                <w:sz w:val="18"/>
                <w:szCs w:val="18"/>
              </w:rPr>
            </w:pPr>
            <w:r>
              <w:rPr>
                <w:rFonts w:hint="eastAsia"/>
                <w:sz w:val="18"/>
                <w:szCs w:val="18"/>
              </w:rPr>
              <w:t>音像复制、电子出版物复制</w:t>
            </w:r>
          </w:p>
        </w:tc>
      </w:tr>
      <w:tr>
        <w:tblPrEx>
          <w:tblCellMar>
            <w:top w:w="0" w:type="dxa"/>
            <w:left w:w="108" w:type="dxa"/>
            <w:bottom w:w="0" w:type="dxa"/>
            <w:right w:w="108" w:type="dxa"/>
          </w:tblCellMar>
        </w:tblPrEx>
        <w:trPr>
          <w:cantSplit/>
          <w:trHeight w:val="539" w:hRule="atLeast"/>
          <w:jc w:val="center"/>
        </w:trPr>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149</w:t>
            </w:r>
          </w:p>
        </w:tc>
        <w:tc>
          <w:tcPr>
            <w:tcW w:w="1116" w:type="dxa"/>
            <w:tcBorders>
              <w:top w:val="single" w:color="auto" w:sz="4" w:space="0"/>
              <w:left w:val="nil"/>
              <w:bottom w:val="single" w:color="auto" w:sz="4" w:space="0"/>
              <w:right w:val="single" w:color="auto" w:sz="4" w:space="0"/>
            </w:tcBorders>
            <w:shd w:val="clear" w:color="000000" w:fill="FFFFFF"/>
            <w:vAlign w:val="center"/>
          </w:tcPr>
          <w:p>
            <w:pPr>
              <w:widowControl/>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从事出版物批发业务许可</w:t>
            </w:r>
          </w:p>
        </w:tc>
        <w:tc>
          <w:tcPr>
            <w:tcW w:w="1673" w:type="dxa"/>
            <w:tcBorders>
              <w:top w:val="single" w:color="auto" w:sz="4" w:space="0"/>
              <w:left w:val="nil"/>
              <w:bottom w:val="single" w:color="auto" w:sz="4" w:space="0"/>
              <w:right w:val="single" w:color="auto" w:sz="4" w:space="0"/>
            </w:tcBorders>
            <w:shd w:val="clear" w:color="000000" w:fill="FFFFFF"/>
            <w:vAlign w:val="center"/>
          </w:tcPr>
          <w:p>
            <w:pPr>
              <w:widowControl/>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省新闻出版局</w:t>
            </w:r>
          </w:p>
        </w:tc>
        <w:tc>
          <w:tcPr>
            <w:tcW w:w="5002" w:type="dxa"/>
            <w:tcBorders>
              <w:top w:val="single" w:color="auto" w:sz="4" w:space="0"/>
              <w:left w:val="nil"/>
              <w:bottom w:val="single" w:color="auto" w:sz="4" w:space="0"/>
              <w:right w:val="single" w:color="auto" w:sz="4" w:space="0"/>
            </w:tcBorders>
            <w:shd w:val="clear" w:color="000000" w:fill="FFFFFF"/>
            <w:vAlign w:val="center"/>
          </w:tcPr>
          <w:p>
            <w:pPr>
              <w:widowControl/>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《出版管理条例》（国务院令第594号）</w:t>
            </w:r>
          </w:p>
          <w:p>
            <w:pPr>
              <w:widowControl/>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《国务院关于取消和调整一批行政审批项目等事项的决定》（国发〔2014〕50号）</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200" w:lineRule="exact"/>
              <w:rPr>
                <w:rFonts w:ascii="宋体" w:hAnsi="宋体" w:eastAsia="宋体" w:cs="宋体"/>
                <w:sz w:val="18"/>
                <w:szCs w:val="18"/>
              </w:rPr>
            </w:pPr>
            <w:r>
              <w:rPr>
                <w:rFonts w:hint="eastAsia"/>
                <w:sz w:val="18"/>
                <w:szCs w:val="18"/>
              </w:rPr>
              <w:t>出版物批发</w:t>
            </w:r>
          </w:p>
        </w:tc>
      </w:tr>
      <w:tr>
        <w:tblPrEx>
          <w:tblCellMar>
            <w:top w:w="0" w:type="dxa"/>
            <w:left w:w="108" w:type="dxa"/>
            <w:bottom w:w="0" w:type="dxa"/>
            <w:right w:w="108" w:type="dxa"/>
          </w:tblCellMar>
        </w:tblPrEx>
        <w:trPr>
          <w:cantSplit/>
          <w:trHeight w:val="505" w:hRule="atLeast"/>
          <w:jc w:val="center"/>
        </w:trPr>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150</w:t>
            </w:r>
          </w:p>
        </w:tc>
        <w:tc>
          <w:tcPr>
            <w:tcW w:w="1116" w:type="dxa"/>
            <w:tcBorders>
              <w:top w:val="single" w:color="auto" w:sz="4" w:space="0"/>
              <w:left w:val="nil"/>
              <w:bottom w:val="single" w:color="auto" w:sz="4" w:space="0"/>
              <w:right w:val="single" w:color="auto" w:sz="4" w:space="0"/>
            </w:tcBorders>
            <w:shd w:val="clear" w:color="000000" w:fill="FFFFFF"/>
            <w:vAlign w:val="center"/>
          </w:tcPr>
          <w:p>
            <w:pPr>
              <w:widowControl/>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从事出版物零售业务许可</w:t>
            </w:r>
          </w:p>
        </w:tc>
        <w:tc>
          <w:tcPr>
            <w:tcW w:w="1673" w:type="dxa"/>
            <w:tcBorders>
              <w:top w:val="single" w:color="auto" w:sz="4" w:space="0"/>
              <w:left w:val="nil"/>
              <w:bottom w:val="single" w:color="auto" w:sz="4" w:space="0"/>
              <w:right w:val="single" w:color="auto" w:sz="4" w:space="0"/>
            </w:tcBorders>
            <w:shd w:val="clear" w:color="000000" w:fill="FFFFFF"/>
            <w:vAlign w:val="center"/>
          </w:tcPr>
          <w:p>
            <w:pPr>
              <w:widowControl/>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县（市、区）新闻出版部门</w:t>
            </w:r>
          </w:p>
        </w:tc>
        <w:tc>
          <w:tcPr>
            <w:tcW w:w="5002" w:type="dxa"/>
            <w:tcBorders>
              <w:top w:val="single" w:color="auto" w:sz="4" w:space="0"/>
              <w:left w:val="nil"/>
              <w:bottom w:val="single" w:color="auto" w:sz="4" w:space="0"/>
              <w:right w:val="single" w:color="auto" w:sz="4" w:space="0"/>
            </w:tcBorders>
            <w:shd w:val="clear" w:color="000000" w:fill="FFFFFF"/>
            <w:vAlign w:val="center"/>
          </w:tcPr>
          <w:p>
            <w:pPr>
              <w:widowControl/>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《出版管理条例》(国务院令第594号)</w:t>
            </w:r>
          </w:p>
          <w:p>
            <w:pPr>
              <w:widowControl/>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《国务院关于取消和调整一批行政审批项目等事项的决定》（国发〔2014〕50号）</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200" w:lineRule="exact"/>
              <w:rPr>
                <w:rFonts w:ascii="宋体" w:hAnsi="宋体" w:eastAsia="宋体" w:cs="宋体"/>
                <w:sz w:val="18"/>
                <w:szCs w:val="18"/>
              </w:rPr>
            </w:pPr>
            <w:r>
              <w:rPr>
                <w:rFonts w:hint="eastAsia"/>
                <w:sz w:val="18"/>
                <w:szCs w:val="18"/>
              </w:rPr>
              <w:t>出版物</w:t>
            </w:r>
          </w:p>
        </w:tc>
      </w:tr>
      <w:tr>
        <w:tblPrEx>
          <w:tblCellMar>
            <w:top w:w="0" w:type="dxa"/>
            <w:left w:w="108" w:type="dxa"/>
            <w:bottom w:w="0" w:type="dxa"/>
            <w:right w:w="108" w:type="dxa"/>
          </w:tblCellMar>
        </w:tblPrEx>
        <w:trPr>
          <w:cantSplit/>
          <w:trHeight w:val="1114" w:hRule="atLeast"/>
          <w:jc w:val="center"/>
        </w:trPr>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151</w:t>
            </w:r>
          </w:p>
        </w:tc>
        <w:tc>
          <w:tcPr>
            <w:tcW w:w="1116" w:type="dxa"/>
            <w:tcBorders>
              <w:top w:val="single" w:color="auto" w:sz="4" w:space="0"/>
              <w:left w:val="nil"/>
              <w:bottom w:val="single" w:color="auto" w:sz="4" w:space="0"/>
              <w:right w:val="single" w:color="auto" w:sz="4" w:space="0"/>
            </w:tcBorders>
            <w:shd w:val="clear" w:color="000000" w:fill="FFFFFF"/>
            <w:vAlign w:val="center"/>
          </w:tcPr>
          <w:p>
            <w:pPr>
              <w:widowControl/>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电影发行单位设立、变更业务范围或者兼并、合并、分立审批</w:t>
            </w:r>
          </w:p>
        </w:tc>
        <w:tc>
          <w:tcPr>
            <w:tcW w:w="1673" w:type="dxa"/>
            <w:tcBorders>
              <w:top w:val="single" w:color="auto" w:sz="4" w:space="0"/>
              <w:left w:val="nil"/>
              <w:bottom w:val="single" w:color="auto" w:sz="4" w:space="0"/>
              <w:right w:val="single" w:color="auto" w:sz="4" w:space="0"/>
            </w:tcBorders>
            <w:shd w:val="clear" w:color="000000" w:fill="FFFFFF"/>
            <w:vAlign w:val="center"/>
          </w:tcPr>
          <w:p>
            <w:pPr>
              <w:widowControl/>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省电影局（省委宣传部）</w:t>
            </w:r>
          </w:p>
        </w:tc>
        <w:tc>
          <w:tcPr>
            <w:tcW w:w="5002" w:type="dxa"/>
            <w:tcBorders>
              <w:top w:val="single" w:color="auto" w:sz="4" w:space="0"/>
              <w:left w:val="nil"/>
              <w:bottom w:val="single" w:color="auto" w:sz="4" w:space="0"/>
              <w:right w:val="single" w:color="auto" w:sz="4" w:space="0"/>
            </w:tcBorders>
            <w:shd w:val="clear" w:color="000000" w:fill="FFFFFF"/>
            <w:vAlign w:val="center"/>
          </w:tcPr>
          <w:p>
            <w:pPr>
              <w:widowControl/>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《电影管理条例》（国务院令第342号）</w:t>
            </w:r>
          </w:p>
          <w:p>
            <w:pPr>
              <w:widowControl/>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《国务院关于取消和调整一批行政审批项目等事项的决定》（国发〔2014〕27号）</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200" w:lineRule="exact"/>
              <w:rPr>
                <w:rFonts w:ascii="宋体" w:hAnsi="宋体" w:eastAsia="宋体" w:cs="宋体"/>
                <w:sz w:val="18"/>
                <w:szCs w:val="18"/>
              </w:rPr>
            </w:pPr>
            <w:r>
              <w:rPr>
                <w:rFonts w:hint="eastAsia"/>
                <w:sz w:val="18"/>
                <w:szCs w:val="18"/>
              </w:rPr>
              <w:t>电影发行</w:t>
            </w:r>
          </w:p>
        </w:tc>
      </w:tr>
      <w:tr>
        <w:tblPrEx>
          <w:tblCellMar>
            <w:top w:w="0" w:type="dxa"/>
            <w:left w:w="108" w:type="dxa"/>
            <w:bottom w:w="0" w:type="dxa"/>
            <w:right w:w="108" w:type="dxa"/>
          </w:tblCellMar>
        </w:tblPrEx>
        <w:trPr>
          <w:cantSplit/>
          <w:trHeight w:val="814" w:hRule="atLeast"/>
          <w:jc w:val="center"/>
        </w:trPr>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Theme="minorEastAsia" w:hAnsiTheme="minorEastAsia"/>
                <w:sz w:val="18"/>
                <w:szCs w:val="18"/>
              </w:rPr>
            </w:pPr>
            <w:r>
              <w:rPr>
                <w:rFonts w:hint="eastAsia" w:asciiTheme="minorEastAsia" w:hAnsiTheme="minorEastAsia"/>
                <w:sz w:val="18"/>
                <w:szCs w:val="18"/>
              </w:rPr>
              <w:t>152</w:t>
            </w:r>
          </w:p>
        </w:tc>
        <w:tc>
          <w:tcPr>
            <w:tcW w:w="1116" w:type="dxa"/>
            <w:tcBorders>
              <w:top w:val="single" w:color="auto" w:sz="4" w:space="0"/>
              <w:left w:val="nil"/>
              <w:bottom w:val="single" w:color="auto" w:sz="4" w:space="0"/>
              <w:right w:val="single" w:color="auto" w:sz="4" w:space="0"/>
            </w:tcBorders>
            <w:shd w:val="clear" w:color="000000" w:fill="FFFFFF"/>
            <w:vAlign w:val="center"/>
          </w:tcPr>
          <w:p>
            <w:pPr>
              <w:widowControl/>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设立广播电视节目制作经营单位批准</w:t>
            </w:r>
          </w:p>
        </w:tc>
        <w:tc>
          <w:tcPr>
            <w:tcW w:w="1673" w:type="dxa"/>
            <w:tcBorders>
              <w:top w:val="single" w:color="auto" w:sz="4" w:space="0"/>
              <w:left w:val="nil"/>
              <w:bottom w:val="single" w:color="auto" w:sz="4" w:space="0"/>
              <w:right w:val="single" w:color="auto" w:sz="4" w:space="0"/>
            </w:tcBorders>
            <w:shd w:val="clear" w:color="000000" w:fill="FFFFFF"/>
            <w:vAlign w:val="center"/>
          </w:tcPr>
          <w:p>
            <w:pPr>
              <w:widowControl/>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省广播电视局</w:t>
            </w:r>
          </w:p>
        </w:tc>
        <w:tc>
          <w:tcPr>
            <w:tcW w:w="5002" w:type="dxa"/>
            <w:tcBorders>
              <w:top w:val="single" w:color="auto" w:sz="4" w:space="0"/>
              <w:left w:val="nil"/>
              <w:bottom w:val="single" w:color="auto" w:sz="4" w:space="0"/>
              <w:right w:val="single" w:color="auto" w:sz="4" w:space="0"/>
            </w:tcBorders>
            <w:shd w:val="clear" w:color="000000" w:fill="FFFFFF"/>
            <w:vAlign w:val="center"/>
          </w:tcPr>
          <w:p>
            <w:pPr>
              <w:widowControl/>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《广播电视管理条例》（国务院令第228号）</w:t>
            </w:r>
          </w:p>
          <w:p>
            <w:pPr>
              <w:widowControl/>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《国务院关于取消和调整一批行政审批项目等事项的决定》（国发〔2015〕11号）</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200" w:lineRule="exact"/>
              <w:rPr>
                <w:rFonts w:ascii="宋体" w:hAnsi="宋体" w:eastAsia="宋体" w:cs="宋体"/>
                <w:sz w:val="18"/>
                <w:szCs w:val="18"/>
              </w:rPr>
            </w:pPr>
            <w:r>
              <w:rPr>
                <w:rFonts w:hint="eastAsia"/>
                <w:sz w:val="18"/>
                <w:szCs w:val="18"/>
              </w:rPr>
              <w:t>广播电视节目制作</w:t>
            </w:r>
          </w:p>
        </w:tc>
      </w:tr>
      <w:tr>
        <w:tblPrEx>
          <w:tblCellMar>
            <w:top w:w="0" w:type="dxa"/>
            <w:left w:w="108" w:type="dxa"/>
            <w:bottom w:w="0" w:type="dxa"/>
            <w:right w:w="108" w:type="dxa"/>
          </w:tblCellMar>
        </w:tblPrEx>
        <w:trPr>
          <w:cantSplit/>
          <w:trHeight w:val="433" w:hRule="atLeast"/>
          <w:jc w:val="center"/>
        </w:trPr>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Theme="minorEastAsia" w:hAnsiTheme="minorEastAsia"/>
                <w:sz w:val="18"/>
                <w:szCs w:val="18"/>
              </w:rPr>
            </w:pPr>
            <w:r>
              <w:rPr>
                <w:rFonts w:hint="eastAsia" w:asciiTheme="minorEastAsia" w:hAnsiTheme="minorEastAsia"/>
                <w:sz w:val="18"/>
                <w:szCs w:val="18"/>
              </w:rPr>
              <w:t>153</w:t>
            </w:r>
          </w:p>
        </w:tc>
        <w:tc>
          <w:tcPr>
            <w:tcW w:w="1116" w:type="dxa"/>
            <w:tcBorders>
              <w:top w:val="single" w:color="auto" w:sz="4" w:space="0"/>
              <w:left w:val="nil"/>
              <w:bottom w:val="single" w:color="auto" w:sz="4" w:space="0"/>
              <w:right w:val="single" w:color="auto" w:sz="4" w:space="0"/>
            </w:tcBorders>
            <w:shd w:val="clear" w:color="000000" w:fill="FFFFFF"/>
            <w:vAlign w:val="center"/>
          </w:tcPr>
          <w:p>
            <w:pPr>
              <w:widowControl/>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设立电视剧制作单位审批</w:t>
            </w:r>
          </w:p>
        </w:tc>
        <w:tc>
          <w:tcPr>
            <w:tcW w:w="1673" w:type="dxa"/>
            <w:tcBorders>
              <w:top w:val="single" w:color="auto" w:sz="4" w:space="0"/>
              <w:left w:val="nil"/>
              <w:bottom w:val="single" w:color="auto" w:sz="4" w:space="0"/>
              <w:right w:val="single" w:color="auto" w:sz="4" w:space="0"/>
            </w:tcBorders>
            <w:shd w:val="clear" w:color="000000" w:fill="FFFFFF"/>
            <w:vAlign w:val="center"/>
          </w:tcPr>
          <w:p>
            <w:pPr>
              <w:widowControl/>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国家广播电视总局</w:t>
            </w:r>
          </w:p>
        </w:tc>
        <w:tc>
          <w:tcPr>
            <w:tcW w:w="5002" w:type="dxa"/>
            <w:tcBorders>
              <w:top w:val="single" w:color="auto" w:sz="4" w:space="0"/>
              <w:left w:val="nil"/>
              <w:bottom w:val="single" w:color="auto" w:sz="4" w:space="0"/>
              <w:right w:val="single" w:color="auto" w:sz="4" w:space="0"/>
            </w:tcBorders>
            <w:shd w:val="clear" w:color="000000" w:fill="FFFFFF"/>
            <w:vAlign w:val="center"/>
          </w:tcPr>
          <w:p>
            <w:pPr>
              <w:widowControl/>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《广播电视管理条例》（国务院令第228号）</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200" w:lineRule="exact"/>
              <w:rPr>
                <w:rFonts w:ascii="宋体" w:hAnsi="宋体" w:eastAsia="宋体" w:cs="宋体"/>
                <w:sz w:val="18"/>
                <w:szCs w:val="18"/>
              </w:rPr>
            </w:pPr>
            <w:r>
              <w:rPr>
                <w:rFonts w:hint="eastAsia"/>
                <w:sz w:val="18"/>
                <w:szCs w:val="18"/>
              </w:rPr>
              <w:t>电视剧制作</w:t>
            </w:r>
          </w:p>
        </w:tc>
      </w:tr>
      <w:tr>
        <w:tblPrEx>
          <w:tblCellMar>
            <w:top w:w="0" w:type="dxa"/>
            <w:left w:w="108" w:type="dxa"/>
            <w:bottom w:w="0" w:type="dxa"/>
            <w:right w:w="108" w:type="dxa"/>
          </w:tblCellMar>
        </w:tblPrEx>
        <w:trPr>
          <w:cantSplit/>
          <w:trHeight w:val="1407" w:hRule="atLeast"/>
          <w:jc w:val="center"/>
        </w:trPr>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00" w:lineRule="exact"/>
              <w:jc w:val="center"/>
              <w:rPr>
                <w:rFonts w:ascii="宋体" w:hAnsi="宋体" w:eastAsia="宋体" w:cs="宋体"/>
                <w:kern w:val="0"/>
                <w:sz w:val="18"/>
                <w:szCs w:val="18"/>
              </w:rPr>
            </w:pPr>
            <w:r>
              <w:rPr>
                <w:rFonts w:hint="eastAsia" w:asciiTheme="minorEastAsia" w:hAnsiTheme="minorEastAsia"/>
                <w:sz w:val="18"/>
                <w:szCs w:val="18"/>
              </w:rPr>
              <w:t>154</w:t>
            </w:r>
          </w:p>
        </w:tc>
        <w:tc>
          <w:tcPr>
            <w:tcW w:w="1116" w:type="dxa"/>
            <w:tcBorders>
              <w:top w:val="single" w:color="auto" w:sz="4" w:space="0"/>
              <w:left w:val="nil"/>
              <w:bottom w:val="single" w:color="auto" w:sz="4" w:space="0"/>
              <w:right w:val="single" w:color="auto" w:sz="4" w:space="0"/>
            </w:tcBorders>
            <w:shd w:val="clear" w:color="000000" w:fill="FFFFFF"/>
            <w:vAlign w:val="center"/>
          </w:tcPr>
          <w:p>
            <w:pPr>
              <w:widowControl/>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举办健身气功活动及设立站点审批</w:t>
            </w:r>
          </w:p>
        </w:tc>
        <w:tc>
          <w:tcPr>
            <w:tcW w:w="1673" w:type="dxa"/>
            <w:tcBorders>
              <w:top w:val="single" w:color="auto" w:sz="4" w:space="0"/>
              <w:left w:val="nil"/>
              <w:bottom w:val="single" w:color="auto" w:sz="4" w:space="0"/>
              <w:right w:val="single" w:color="auto" w:sz="4" w:space="0"/>
            </w:tcBorders>
            <w:shd w:val="clear" w:color="000000" w:fill="FFFFFF"/>
            <w:vAlign w:val="center"/>
          </w:tcPr>
          <w:p>
            <w:pPr>
              <w:widowControl/>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省、设区市、县（市、区）体育部门</w:t>
            </w:r>
          </w:p>
        </w:tc>
        <w:tc>
          <w:tcPr>
            <w:tcW w:w="5002" w:type="dxa"/>
            <w:tcBorders>
              <w:top w:val="single" w:color="auto" w:sz="4" w:space="0"/>
              <w:left w:val="nil"/>
              <w:bottom w:val="single" w:color="auto" w:sz="4" w:space="0"/>
              <w:right w:val="single" w:color="auto" w:sz="4" w:space="0"/>
            </w:tcBorders>
            <w:shd w:val="clear" w:color="000000" w:fill="FFFFFF"/>
            <w:vAlign w:val="center"/>
          </w:tcPr>
          <w:p>
            <w:pPr>
              <w:widowControl/>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《国务院对确需保留的行政审批项目设定行政许可的决定》（国务院令第412号）</w:t>
            </w:r>
          </w:p>
          <w:p>
            <w:pPr>
              <w:widowControl/>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《国务院关于第五批取消和下放管理层级行政审批项目的决定》（国发〔2010〕21号）</w:t>
            </w:r>
          </w:p>
          <w:p>
            <w:pPr>
              <w:widowControl/>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《健身气功管理办法》（国家体育总局令第9号）</w:t>
            </w:r>
          </w:p>
          <w:p>
            <w:pPr>
              <w:widowControl/>
              <w:spacing w:line="200" w:lineRule="exact"/>
              <w:jc w:val="left"/>
              <w:rPr>
                <w:rFonts w:ascii="宋体" w:hAnsi="宋体" w:eastAsia="宋体" w:cs="宋体"/>
                <w:kern w:val="0"/>
                <w:sz w:val="18"/>
                <w:szCs w:val="18"/>
              </w:rPr>
            </w:pPr>
            <w:r>
              <w:rPr>
                <w:rFonts w:hint="eastAsia" w:ascii="宋体" w:hAnsi="宋体" w:eastAsia="宋体" w:cs="宋体"/>
                <w:kern w:val="0"/>
                <w:sz w:val="18"/>
                <w:szCs w:val="18"/>
              </w:rPr>
              <w:t>《国务院关于取消和调整一批行政审批项目等事项的决定》（国发〔2014〕50号）</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200" w:lineRule="exact"/>
              <w:rPr>
                <w:rFonts w:ascii="宋体" w:hAnsi="宋体" w:eastAsia="宋体" w:cs="宋体"/>
                <w:sz w:val="18"/>
                <w:szCs w:val="18"/>
              </w:rPr>
            </w:pPr>
            <w:r>
              <w:rPr>
                <w:rFonts w:hint="eastAsia"/>
                <w:sz w:val="18"/>
                <w:szCs w:val="18"/>
              </w:rPr>
              <w:t>气功</w:t>
            </w:r>
          </w:p>
        </w:tc>
      </w:tr>
      <w:tr>
        <w:tblPrEx>
          <w:tblCellMar>
            <w:top w:w="0" w:type="dxa"/>
            <w:left w:w="108" w:type="dxa"/>
            <w:bottom w:w="0" w:type="dxa"/>
            <w:right w:w="108" w:type="dxa"/>
          </w:tblCellMar>
        </w:tblPrEx>
        <w:trPr>
          <w:cantSplit/>
          <w:trHeight w:val="408" w:hRule="atLeast"/>
          <w:jc w:val="center"/>
        </w:trPr>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b/>
                <w:bCs/>
                <w:kern w:val="0"/>
                <w:sz w:val="18"/>
                <w:szCs w:val="18"/>
              </w:rPr>
            </w:pPr>
            <w:r>
              <w:br w:type="page"/>
            </w:r>
            <w:r>
              <w:rPr>
                <w:rFonts w:hint="eastAsia" w:ascii="宋体" w:hAnsi="宋体" w:eastAsia="宋体" w:cs="宋体"/>
                <w:b/>
                <w:bCs/>
                <w:kern w:val="0"/>
                <w:sz w:val="18"/>
                <w:szCs w:val="18"/>
              </w:rPr>
              <w:t>序号</w:t>
            </w:r>
          </w:p>
        </w:tc>
        <w:tc>
          <w:tcPr>
            <w:tcW w:w="1116"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b/>
                <w:bCs/>
                <w:kern w:val="0"/>
                <w:sz w:val="18"/>
                <w:szCs w:val="18"/>
              </w:rPr>
            </w:pPr>
            <w:r>
              <w:rPr>
                <w:rFonts w:hint="eastAsia" w:ascii="宋体" w:hAnsi="宋体" w:eastAsia="宋体" w:cs="宋体"/>
                <w:b/>
                <w:bCs/>
                <w:kern w:val="0"/>
                <w:sz w:val="18"/>
                <w:szCs w:val="18"/>
              </w:rPr>
              <w:t>项目名称</w:t>
            </w:r>
          </w:p>
        </w:tc>
        <w:tc>
          <w:tcPr>
            <w:tcW w:w="167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b/>
                <w:bCs/>
                <w:kern w:val="0"/>
                <w:sz w:val="18"/>
                <w:szCs w:val="18"/>
              </w:rPr>
            </w:pPr>
            <w:r>
              <w:rPr>
                <w:rFonts w:hint="eastAsia" w:ascii="宋体" w:hAnsi="宋体" w:eastAsia="宋体" w:cs="宋体"/>
                <w:b/>
                <w:bCs/>
                <w:kern w:val="0"/>
                <w:sz w:val="18"/>
                <w:szCs w:val="18"/>
              </w:rPr>
              <w:t>实施机关</w:t>
            </w:r>
          </w:p>
        </w:tc>
        <w:tc>
          <w:tcPr>
            <w:tcW w:w="5002"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b/>
                <w:bCs/>
                <w:kern w:val="0"/>
                <w:sz w:val="18"/>
                <w:szCs w:val="18"/>
              </w:rPr>
            </w:pPr>
            <w:r>
              <w:rPr>
                <w:rFonts w:hint="eastAsia" w:ascii="宋体" w:hAnsi="宋体" w:eastAsia="宋体" w:cs="宋体"/>
                <w:b/>
                <w:bCs/>
                <w:kern w:val="0"/>
                <w:sz w:val="18"/>
                <w:szCs w:val="18"/>
              </w:rPr>
              <w:t xml:space="preserve">设定依据                                                                                         </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240" w:lineRule="exact"/>
              <w:rPr>
                <w:rFonts w:ascii="宋体" w:hAnsi="宋体" w:eastAsia="宋体" w:cs="宋体"/>
                <w:sz w:val="18"/>
                <w:szCs w:val="18"/>
              </w:rPr>
            </w:pPr>
            <w:r>
              <w:rPr>
                <w:rFonts w:hint="eastAsia" w:ascii="宋体" w:hAnsi="宋体" w:eastAsia="宋体" w:cs="宋体"/>
                <w:b/>
                <w:bCs/>
                <w:kern w:val="0"/>
                <w:sz w:val="18"/>
                <w:szCs w:val="18"/>
              </w:rPr>
              <w:t>检索关键词</w:t>
            </w:r>
          </w:p>
        </w:tc>
      </w:tr>
      <w:tr>
        <w:tblPrEx>
          <w:tblCellMar>
            <w:top w:w="0" w:type="dxa"/>
            <w:left w:w="108" w:type="dxa"/>
            <w:bottom w:w="0" w:type="dxa"/>
            <w:right w:w="108" w:type="dxa"/>
          </w:tblCellMar>
        </w:tblPrEx>
        <w:trPr>
          <w:cantSplit/>
          <w:trHeight w:val="408" w:hRule="atLeast"/>
          <w:jc w:val="center"/>
        </w:trPr>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155</w:t>
            </w:r>
          </w:p>
        </w:tc>
        <w:tc>
          <w:tcPr>
            <w:tcW w:w="1116" w:type="dxa"/>
            <w:tcBorders>
              <w:top w:val="single" w:color="auto" w:sz="4" w:space="0"/>
              <w:left w:val="nil"/>
              <w:bottom w:val="single" w:color="auto" w:sz="4" w:space="0"/>
              <w:right w:val="single" w:color="auto" w:sz="4" w:space="0"/>
            </w:tcBorders>
            <w:shd w:val="clear" w:color="000000" w:fill="FFFFFF"/>
            <w:vAlign w:val="center"/>
          </w:tcPr>
          <w:p>
            <w:pPr>
              <w:widowControl/>
              <w:spacing w:line="250" w:lineRule="exact"/>
              <w:jc w:val="left"/>
              <w:rPr>
                <w:rFonts w:ascii="宋体" w:hAnsi="宋体" w:eastAsia="宋体" w:cs="宋体"/>
                <w:kern w:val="0"/>
                <w:sz w:val="18"/>
                <w:szCs w:val="18"/>
              </w:rPr>
            </w:pPr>
            <w:r>
              <w:rPr>
                <w:rFonts w:hint="eastAsia" w:ascii="宋体" w:hAnsi="宋体" w:eastAsia="宋体" w:cs="宋体"/>
                <w:kern w:val="0"/>
                <w:sz w:val="18"/>
                <w:szCs w:val="18"/>
              </w:rPr>
              <w:t>经营高危险性体育项目许可</w:t>
            </w:r>
          </w:p>
        </w:tc>
        <w:tc>
          <w:tcPr>
            <w:tcW w:w="1673" w:type="dxa"/>
            <w:tcBorders>
              <w:top w:val="single" w:color="auto" w:sz="4" w:space="0"/>
              <w:left w:val="nil"/>
              <w:bottom w:val="single" w:color="auto" w:sz="4" w:space="0"/>
              <w:right w:val="single" w:color="auto" w:sz="4" w:space="0"/>
            </w:tcBorders>
            <w:shd w:val="clear" w:color="000000" w:fill="FFFFFF"/>
            <w:vAlign w:val="center"/>
          </w:tcPr>
          <w:p>
            <w:pPr>
              <w:widowControl/>
              <w:spacing w:line="250" w:lineRule="exact"/>
              <w:jc w:val="left"/>
              <w:rPr>
                <w:rFonts w:ascii="宋体" w:hAnsi="宋体" w:eastAsia="宋体" w:cs="宋体"/>
                <w:kern w:val="0"/>
                <w:sz w:val="18"/>
                <w:szCs w:val="18"/>
              </w:rPr>
            </w:pPr>
            <w:r>
              <w:rPr>
                <w:rFonts w:hint="eastAsia" w:ascii="宋体" w:hAnsi="宋体" w:eastAsia="宋体" w:cs="宋体"/>
                <w:kern w:val="0"/>
                <w:sz w:val="18"/>
                <w:szCs w:val="18"/>
              </w:rPr>
              <w:t>设区市、县（市、区）体育部门</w:t>
            </w:r>
          </w:p>
        </w:tc>
        <w:tc>
          <w:tcPr>
            <w:tcW w:w="5002" w:type="dxa"/>
            <w:tcBorders>
              <w:top w:val="single" w:color="auto" w:sz="4" w:space="0"/>
              <w:left w:val="nil"/>
              <w:bottom w:val="single" w:color="auto" w:sz="4" w:space="0"/>
              <w:right w:val="single" w:color="auto" w:sz="4" w:space="0"/>
            </w:tcBorders>
            <w:shd w:val="clear" w:color="000000" w:fill="FFFFFF"/>
            <w:vAlign w:val="center"/>
          </w:tcPr>
          <w:p>
            <w:pPr>
              <w:widowControl/>
              <w:spacing w:line="250" w:lineRule="exact"/>
              <w:jc w:val="left"/>
              <w:rPr>
                <w:rFonts w:ascii="宋体" w:hAnsi="宋体" w:eastAsia="宋体" w:cs="宋体"/>
                <w:kern w:val="0"/>
                <w:sz w:val="18"/>
                <w:szCs w:val="18"/>
              </w:rPr>
            </w:pPr>
            <w:r>
              <w:rPr>
                <w:rFonts w:hint="eastAsia" w:ascii="宋体" w:hAnsi="宋体" w:eastAsia="宋体" w:cs="宋体"/>
                <w:kern w:val="0"/>
                <w:sz w:val="18"/>
                <w:szCs w:val="18"/>
              </w:rPr>
              <w:t>《全民健身条例》（国务院令第560号）</w:t>
            </w:r>
          </w:p>
          <w:p>
            <w:pPr>
              <w:widowControl/>
              <w:spacing w:line="250" w:lineRule="exact"/>
              <w:jc w:val="left"/>
              <w:rPr>
                <w:rFonts w:ascii="宋体" w:hAnsi="宋体" w:eastAsia="宋体" w:cs="宋体"/>
                <w:kern w:val="0"/>
                <w:sz w:val="18"/>
                <w:szCs w:val="18"/>
              </w:rPr>
            </w:pPr>
            <w:r>
              <w:rPr>
                <w:rFonts w:hint="eastAsia" w:ascii="宋体" w:hAnsi="宋体" w:eastAsia="宋体" w:cs="宋体"/>
                <w:kern w:val="0"/>
                <w:sz w:val="18"/>
                <w:szCs w:val="18"/>
              </w:rPr>
              <w:t>《国务院关于取消和调整一批行政审批项目等事项的决定》（国发〔2015〕11号）</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250" w:lineRule="exact"/>
              <w:rPr>
                <w:rFonts w:ascii="宋体" w:hAnsi="宋体" w:eastAsia="宋体" w:cs="宋体"/>
                <w:sz w:val="18"/>
                <w:szCs w:val="18"/>
              </w:rPr>
            </w:pPr>
            <w:r>
              <w:rPr>
                <w:rFonts w:hint="eastAsia"/>
                <w:sz w:val="18"/>
                <w:szCs w:val="18"/>
              </w:rPr>
              <w:t>游泳、滑雪、潜水、攀岩</w:t>
            </w:r>
          </w:p>
        </w:tc>
      </w:tr>
      <w:tr>
        <w:tblPrEx>
          <w:tblCellMar>
            <w:top w:w="0" w:type="dxa"/>
            <w:left w:w="108" w:type="dxa"/>
            <w:bottom w:w="0" w:type="dxa"/>
            <w:right w:w="108" w:type="dxa"/>
          </w:tblCellMar>
        </w:tblPrEx>
        <w:trPr>
          <w:cantSplit/>
          <w:trHeight w:val="738" w:hRule="atLeast"/>
          <w:jc w:val="center"/>
        </w:trPr>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156</w:t>
            </w:r>
          </w:p>
        </w:tc>
        <w:tc>
          <w:tcPr>
            <w:tcW w:w="1116" w:type="dxa"/>
            <w:tcBorders>
              <w:top w:val="single" w:color="auto" w:sz="4" w:space="0"/>
              <w:left w:val="nil"/>
              <w:bottom w:val="single" w:color="auto" w:sz="4" w:space="0"/>
              <w:right w:val="single" w:color="auto" w:sz="4" w:space="0"/>
            </w:tcBorders>
            <w:shd w:val="clear" w:color="000000" w:fill="FFFFFF"/>
            <w:vAlign w:val="center"/>
          </w:tcPr>
          <w:p>
            <w:pPr>
              <w:widowControl/>
              <w:spacing w:line="250" w:lineRule="exact"/>
              <w:jc w:val="left"/>
              <w:rPr>
                <w:rFonts w:ascii="宋体" w:hAnsi="宋体" w:eastAsia="宋体" w:cs="宋体"/>
                <w:kern w:val="0"/>
                <w:sz w:val="18"/>
                <w:szCs w:val="18"/>
              </w:rPr>
            </w:pPr>
            <w:r>
              <w:rPr>
                <w:rFonts w:hint="eastAsia" w:ascii="宋体" w:hAnsi="宋体" w:eastAsia="宋体" w:cs="宋体"/>
                <w:kern w:val="0"/>
                <w:sz w:val="18"/>
                <w:szCs w:val="18"/>
              </w:rPr>
              <w:t>非煤矿矿山企业安全生产许可</w:t>
            </w:r>
          </w:p>
        </w:tc>
        <w:tc>
          <w:tcPr>
            <w:tcW w:w="1673" w:type="dxa"/>
            <w:tcBorders>
              <w:top w:val="single" w:color="auto" w:sz="4" w:space="0"/>
              <w:left w:val="nil"/>
              <w:bottom w:val="single" w:color="auto" w:sz="4" w:space="0"/>
              <w:right w:val="single" w:color="auto" w:sz="4" w:space="0"/>
            </w:tcBorders>
            <w:shd w:val="clear" w:color="000000" w:fill="FFFFFF"/>
            <w:vAlign w:val="center"/>
          </w:tcPr>
          <w:p>
            <w:pPr>
              <w:widowControl/>
              <w:spacing w:line="250" w:lineRule="exact"/>
              <w:jc w:val="left"/>
              <w:rPr>
                <w:rFonts w:ascii="宋体" w:hAnsi="宋体" w:eastAsia="宋体" w:cs="宋体"/>
                <w:kern w:val="0"/>
                <w:sz w:val="18"/>
                <w:szCs w:val="18"/>
              </w:rPr>
            </w:pPr>
            <w:r>
              <w:rPr>
                <w:rFonts w:hint="eastAsia" w:ascii="宋体" w:hAnsi="宋体" w:eastAsia="宋体" w:cs="宋体"/>
                <w:kern w:val="0"/>
                <w:sz w:val="18"/>
                <w:szCs w:val="18"/>
              </w:rPr>
              <w:t>省应急管理厅、设区市应急管理部门</w:t>
            </w:r>
          </w:p>
        </w:tc>
        <w:tc>
          <w:tcPr>
            <w:tcW w:w="5002" w:type="dxa"/>
            <w:tcBorders>
              <w:top w:val="single" w:color="auto" w:sz="4" w:space="0"/>
              <w:left w:val="nil"/>
              <w:bottom w:val="single" w:color="auto" w:sz="4" w:space="0"/>
              <w:right w:val="single" w:color="auto" w:sz="4" w:space="0"/>
            </w:tcBorders>
            <w:shd w:val="clear" w:color="000000" w:fill="FFFFFF"/>
            <w:vAlign w:val="center"/>
          </w:tcPr>
          <w:p>
            <w:pPr>
              <w:widowControl/>
              <w:spacing w:line="250" w:lineRule="exact"/>
              <w:jc w:val="left"/>
              <w:rPr>
                <w:rFonts w:ascii="宋体" w:hAnsi="宋体" w:eastAsia="宋体" w:cs="宋体"/>
                <w:kern w:val="0"/>
                <w:sz w:val="18"/>
                <w:szCs w:val="18"/>
              </w:rPr>
            </w:pPr>
            <w:r>
              <w:rPr>
                <w:rFonts w:hint="eastAsia" w:ascii="宋体" w:hAnsi="宋体" w:eastAsia="宋体" w:cs="宋体"/>
                <w:kern w:val="0"/>
                <w:sz w:val="18"/>
                <w:szCs w:val="18"/>
              </w:rPr>
              <w:t>《安全生产许可证条例》（国务院令第397号）</w:t>
            </w:r>
          </w:p>
          <w:p>
            <w:pPr>
              <w:widowControl/>
              <w:spacing w:line="250" w:lineRule="exact"/>
              <w:jc w:val="left"/>
              <w:rPr>
                <w:rFonts w:ascii="宋体" w:hAnsi="宋体" w:eastAsia="宋体" w:cs="宋体"/>
                <w:kern w:val="0"/>
                <w:sz w:val="18"/>
                <w:szCs w:val="18"/>
              </w:rPr>
            </w:pPr>
            <w:r>
              <w:rPr>
                <w:rFonts w:hint="eastAsia" w:ascii="宋体" w:hAnsi="宋体" w:eastAsia="宋体" w:cs="宋体"/>
                <w:kern w:val="0"/>
                <w:sz w:val="18"/>
                <w:szCs w:val="18"/>
              </w:rPr>
              <w:t>《非煤矿矿山企业安全生产许可证实施办法》（安全生产监管总局令第20号）</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250" w:lineRule="exact"/>
              <w:rPr>
                <w:rFonts w:ascii="宋体" w:hAnsi="宋体" w:eastAsia="宋体" w:cs="宋体"/>
                <w:sz w:val="18"/>
                <w:szCs w:val="18"/>
              </w:rPr>
            </w:pPr>
            <w:r>
              <w:rPr>
                <w:rFonts w:hint="eastAsia"/>
                <w:sz w:val="18"/>
                <w:szCs w:val="18"/>
              </w:rPr>
              <w:t>矿山、矿产、开采、采矿</w:t>
            </w:r>
          </w:p>
        </w:tc>
      </w:tr>
      <w:tr>
        <w:tblPrEx>
          <w:tblCellMar>
            <w:top w:w="0" w:type="dxa"/>
            <w:left w:w="108" w:type="dxa"/>
            <w:bottom w:w="0" w:type="dxa"/>
            <w:right w:w="108" w:type="dxa"/>
          </w:tblCellMar>
        </w:tblPrEx>
        <w:trPr>
          <w:cantSplit/>
          <w:trHeight w:val="838" w:hRule="atLeast"/>
          <w:jc w:val="center"/>
        </w:trPr>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157</w:t>
            </w:r>
          </w:p>
        </w:tc>
        <w:tc>
          <w:tcPr>
            <w:tcW w:w="1116" w:type="dxa"/>
            <w:tcBorders>
              <w:top w:val="single" w:color="auto" w:sz="4" w:space="0"/>
              <w:left w:val="nil"/>
              <w:bottom w:val="single" w:color="auto" w:sz="4" w:space="0"/>
              <w:right w:val="single" w:color="auto" w:sz="4" w:space="0"/>
            </w:tcBorders>
            <w:shd w:val="clear" w:color="000000" w:fill="FFFFFF"/>
            <w:vAlign w:val="center"/>
          </w:tcPr>
          <w:p>
            <w:pPr>
              <w:widowControl/>
              <w:spacing w:line="250" w:lineRule="exact"/>
              <w:jc w:val="left"/>
              <w:rPr>
                <w:rFonts w:ascii="宋体" w:hAnsi="宋体" w:eastAsia="宋体" w:cs="宋体"/>
                <w:kern w:val="0"/>
                <w:sz w:val="18"/>
                <w:szCs w:val="18"/>
              </w:rPr>
            </w:pPr>
            <w:r>
              <w:rPr>
                <w:rFonts w:hint="eastAsia" w:ascii="宋体" w:hAnsi="宋体" w:eastAsia="宋体" w:cs="宋体"/>
                <w:kern w:val="0"/>
                <w:sz w:val="18"/>
                <w:szCs w:val="18"/>
              </w:rPr>
              <w:t>烟花爆竹批发许可</w:t>
            </w:r>
          </w:p>
        </w:tc>
        <w:tc>
          <w:tcPr>
            <w:tcW w:w="1673" w:type="dxa"/>
            <w:tcBorders>
              <w:top w:val="single" w:color="auto" w:sz="4" w:space="0"/>
              <w:left w:val="nil"/>
              <w:bottom w:val="single" w:color="auto" w:sz="4" w:space="0"/>
              <w:right w:val="single" w:color="auto" w:sz="4" w:space="0"/>
            </w:tcBorders>
            <w:shd w:val="clear" w:color="000000" w:fill="FFFFFF"/>
            <w:vAlign w:val="center"/>
          </w:tcPr>
          <w:p>
            <w:pPr>
              <w:widowControl/>
              <w:spacing w:line="250" w:lineRule="exact"/>
              <w:jc w:val="left"/>
              <w:rPr>
                <w:rFonts w:ascii="宋体" w:hAnsi="宋体" w:eastAsia="宋体" w:cs="宋体"/>
                <w:kern w:val="0"/>
                <w:sz w:val="18"/>
                <w:szCs w:val="18"/>
              </w:rPr>
            </w:pPr>
            <w:r>
              <w:rPr>
                <w:rFonts w:hint="eastAsia" w:ascii="宋体" w:hAnsi="宋体" w:eastAsia="宋体" w:cs="宋体"/>
                <w:kern w:val="0"/>
                <w:sz w:val="18"/>
                <w:szCs w:val="18"/>
              </w:rPr>
              <w:t>设区市应急管理部门</w:t>
            </w:r>
          </w:p>
        </w:tc>
        <w:tc>
          <w:tcPr>
            <w:tcW w:w="5002" w:type="dxa"/>
            <w:tcBorders>
              <w:top w:val="single" w:color="auto" w:sz="4" w:space="0"/>
              <w:left w:val="nil"/>
              <w:bottom w:val="single" w:color="auto" w:sz="4" w:space="0"/>
              <w:right w:val="single" w:color="auto" w:sz="4" w:space="0"/>
            </w:tcBorders>
            <w:shd w:val="clear" w:color="000000" w:fill="FFFFFF"/>
            <w:vAlign w:val="center"/>
          </w:tcPr>
          <w:p>
            <w:pPr>
              <w:widowControl/>
              <w:spacing w:line="250" w:lineRule="exact"/>
              <w:jc w:val="left"/>
              <w:rPr>
                <w:rFonts w:ascii="宋体" w:hAnsi="宋体" w:eastAsia="宋体" w:cs="宋体"/>
                <w:kern w:val="0"/>
                <w:sz w:val="18"/>
                <w:szCs w:val="18"/>
              </w:rPr>
            </w:pPr>
            <w:r>
              <w:rPr>
                <w:rFonts w:hint="eastAsia" w:ascii="宋体" w:hAnsi="宋体" w:eastAsia="宋体" w:cs="宋体"/>
                <w:kern w:val="0"/>
                <w:sz w:val="18"/>
                <w:szCs w:val="18"/>
              </w:rPr>
              <w:t>《烟花爆竹安全管理条例》（国务院令第455号）</w:t>
            </w:r>
          </w:p>
          <w:p>
            <w:pPr>
              <w:widowControl/>
              <w:spacing w:line="250" w:lineRule="exact"/>
              <w:jc w:val="left"/>
              <w:rPr>
                <w:rFonts w:ascii="宋体" w:hAnsi="宋体" w:eastAsia="宋体" w:cs="宋体"/>
                <w:kern w:val="0"/>
                <w:sz w:val="18"/>
                <w:szCs w:val="18"/>
              </w:rPr>
            </w:pPr>
            <w:r>
              <w:rPr>
                <w:rFonts w:hint="eastAsia" w:ascii="宋体" w:hAnsi="宋体" w:eastAsia="宋体" w:cs="宋体"/>
                <w:kern w:val="0"/>
                <w:sz w:val="18"/>
                <w:szCs w:val="18"/>
              </w:rPr>
              <w:t>《烟花爆竹经营许可实施办法》(安全生产监管总局令第65号)</w:t>
            </w:r>
          </w:p>
          <w:p>
            <w:pPr>
              <w:widowControl/>
              <w:spacing w:line="250" w:lineRule="exact"/>
              <w:jc w:val="left"/>
              <w:rPr>
                <w:rFonts w:ascii="宋体" w:hAnsi="宋体" w:eastAsia="宋体" w:cs="宋体"/>
                <w:kern w:val="0"/>
                <w:sz w:val="18"/>
                <w:szCs w:val="18"/>
              </w:rPr>
            </w:pPr>
            <w:r>
              <w:rPr>
                <w:rFonts w:hint="eastAsia" w:ascii="宋体" w:hAnsi="宋体" w:eastAsia="宋体" w:cs="宋体"/>
                <w:kern w:val="0"/>
                <w:sz w:val="18"/>
                <w:szCs w:val="18"/>
              </w:rPr>
              <w:t>《国务院关于取消和调整一批行政审批项目等事项的决定》（国发〔2014〕50号）</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250" w:lineRule="exact"/>
              <w:rPr>
                <w:rFonts w:ascii="宋体" w:hAnsi="宋体" w:eastAsia="宋体" w:cs="宋体"/>
                <w:sz w:val="18"/>
                <w:szCs w:val="18"/>
              </w:rPr>
            </w:pPr>
            <w:r>
              <w:rPr>
                <w:rFonts w:hint="eastAsia"/>
                <w:sz w:val="18"/>
                <w:szCs w:val="18"/>
              </w:rPr>
              <w:t>烟花爆竹</w:t>
            </w:r>
          </w:p>
        </w:tc>
      </w:tr>
      <w:tr>
        <w:tblPrEx>
          <w:tblCellMar>
            <w:top w:w="0" w:type="dxa"/>
            <w:left w:w="108" w:type="dxa"/>
            <w:bottom w:w="0" w:type="dxa"/>
            <w:right w:w="108" w:type="dxa"/>
          </w:tblCellMar>
        </w:tblPrEx>
        <w:trPr>
          <w:cantSplit/>
          <w:trHeight w:val="408" w:hRule="atLeast"/>
          <w:jc w:val="center"/>
        </w:trPr>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pPr>
            <w:r>
              <w:rPr>
                <w:rFonts w:hint="eastAsia" w:ascii="宋体" w:hAnsi="宋体" w:eastAsia="宋体" w:cs="宋体"/>
                <w:kern w:val="0"/>
                <w:sz w:val="18"/>
                <w:szCs w:val="18"/>
              </w:rPr>
              <w:t>158</w:t>
            </w:r>
          </w:p>
        </w:tc>
        <w:tc>
          <w:tcPr>
            <w:tcW w:w="1116" w:type="dxa"/>
            <w:tcBorders>
              <w:top w:val="single" w:color="auto" w:sz="4" w:space="0"/>
              <w:left w:val="nil"/>
              <w:bottom w:val="single" w:color="auto" w:sz="4" w:space="0"/>
              <w:right w:val="single" w:color="auto" w:sz="4" w:space="0"/>
            </w:tcBorders>
            <w:shd w:val="clear" w:color="000000" w:fill="FFFFFF"/>
            <w:vAlign w:val="center"/>
          </w:tcPr>
          <w:p>
            <w:pPr>
              <w:widowControl/>
              <w:spacing w:line="250" w:lineRule="exact"/>
              <w:jc w:val="left"/>
              <w:rPr>
                <w:rFonts w:ascii="宋体" w:hAnsi="宋体" w:eastAsia="宋体" w:cs="宋体"/>
                <w:kern w:val="0"/>
                <w:sz w:val="18"/>
                <w:szCs w:val="18"/>
              </w:rPr>
            </w:pPr>
            <w:r>
              <w:rPr>
                <w:rFonts w:hint="eastAsia" w:ascii="宋体" w:hAnsi="宋体" w:eastAsia="宋体" w:cs="宋体"/>
                <w:kern w:val="0"/>
                <w:sz w:val="18"/>
                <w:szCs w:val="18"/>
              </w:rPr>
              <w:t>烟花爆竹零售许可</w:t>
            </w:r>
          </w:p>
        </w:tc>
        <w:tc>
          <w:tcPr>
            <w:tcW w:w="1673" w:type="dxa"/>
            <w:tcBorders>
              <w:top w:val="single" w:color="auto" w:sz="4" w:space="0"/>
              <w:left w:val="nil"/>
              <w:bottom w:val="single" w:color="auto" w:sz="4" w:space="0"/>
              <w:right w:val="single" w:color="auto" w:sz="4" w:space="0"/>
            </w:tcBorders>
            <w:shd w:val="clear" w:color="000000" w:fill="FFFFFF"/>
            <w:vAlign w:val="center"/>
          </w:tcPr>
          <w:p>
            <w:pPr>
              <w:widowControl/>
              <w:spacing w:line="250" w:lineRule="exact"/>
              <w:jc w:val="left"/>
              <w:rPr>
                <w:rFonts w:ascii="宋体" w:hAnsi="宋体" w:eastAsia="宋体" w:cs="宋体"/>
                <w:kern w:val="0"/>
                <w:sz w:val="18"/>
                <w:szCs w:val="18"/>
              </w:rPr>
            </w:pPr>
            <w:r>
              <w:rPr>
                <w:rFonts w:hint="eastAsia" w:ascii="宋体" w:hAnsi="宋体" w:eastAsia="宋体" w:cs="宋体"/>
                <w:kern w:val="0"/>
                <w:sz w:val="18"/>
                <w:szCs w:val="18"/>
              </w:rPr>
              <w:t>县（市、区）应急管理部门</w:t>
            </w:r>
          </w:p>
        </w:tc>
        <w:tc>
          <w:tcPr>
            <w:tcW w:w="5002" w:type="dxa"/>
            <w:tcBorders>
              <w:top w:val="single" w:color="auto" w:sz="4" w:space="0"/>
              <w:left w:val="nil"/>
              <w:bottom w:val="single" w:color="auto" w:sz="4" w:space="0"/>
              <w:right w:val="single" w:color="auto" w:sz="4" w:space="0"/>
            </w:tcBorders>
            <w:shd w:val="clear" w:color="000000" w:fill="FFFFFF"/>
            <w:vAlign w:val="center"/>
          </w:tcPr>
          <w:p>
            <w:pPr>
              <w:widowControl/>
              <w:spacing w:line="250" w:lineRule="exact"/>
              <w:jc w:val="left"/>
              <w:rPr>
                <w:rFonts w:ascii="宋体" w:hAnsi="宋体" w:eastAsia="宋体" w:cs="宋体"/>
                <w:kern w:val="0"/>
                <w:sz w:val="18"/>
                <w:szCs w:val="18"/>
              </w:rPr>
            </w:pPr>
            <w:r>
              <w:rPr>
                <w:rFonts w:hint="eastAsia" w:ascii="宋体" w:hAnsi="宋体" w:eastAsia="宋体" w:cs="宋体"/>
                <w:kern w:val="0"/>
                <w:sz w:val="18"/>
                <w:szCs w:val="18"/>
              </w:rPr>
              <w:t xml:space="preserve">《烟花爆竹安全管理条例》（国务院令第455号）                                                                                     </w:t>
            </w:r>
          </w:p>
          <w:p>
            <w:pPr>
              <w:widowControl/>
              <w:spacing w:line="250" w:lineRule="exact"/>
              <w:jc w:val="left"/>
              <w:rPr>
                <w:rFonts w:ascii="宋体" w:hAnsi="宋体" w:eastAsia="宋体" w:cs="宋体"/>
                <w:kern w:val="0"/>
                <w:sz w:val="18"/>
                <w:szCs w:val="18"/>
              </w:rPr>
            </w:pPr>
            <w:r>
              <w:rPr>
                <w:rFonts w:hint="eastAsia" w:ascii="宋体" w:hAnsi="宋体" w:eastAsia="宋体" w:cs="宋体"/>
                <w:kern w:val="0"/>
                <w:sz w:val="18"/>
                <w:szCs w:val="18"/>
              </w:rPr>
              <w:t xml:space="preserve">《烟花爆竹经营许可实施办法》(安全生产监管总局令第65号)                                                                                                                                   </w:t>
            </w:r>
          </w:p>
          <w:p>
            <w:pPr>
              <w:widowControl/>
              <w:spacing w:line="250" w:lineRule="exact"/>
              <w:jc w:val="left"/>
              <w:rPr>
                <w:rFonts w:ascii="宋体" w:hAnsi="宋体" w:eastAsia="宋体" w:cs="宋体"/>
                <w:kern w:val="0"/>
                <w:sz w:val="18"/>
                <w:szCs w:val="18"/>
              </w:rPr>
            </w:pPr>
            <w:r>
              <w:rPr>
                <w:rFonts w:hint="eastAsia" w:ascii="宋体" w:hAnsi="宋体" w:eastAsia="宋体" w:cs="宋体"/>
                <w:kern w:val="0"/>
                <w:sz w:val="18"/>
                <w:szCs w:val="18"/>
              </w:rPr>
              <w:t>《国务院关于取消和调整一批行政审批项目等事项的决定》（国发〔2014〕50号）</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250" w:lineRule="exact"/>
              <w:rPr>
                <w:rFonts w:ascii="宋体" w:hAnsi="宋体" w:eastAsia="宋体" w:cs="宋体"/>
                <w:sz w:val="18"/>
                <w:szCs w:val="18"/>
              </w:rPr>
            </w:pPr>
            <w:r>
              <w:rPr>
                <w:rFonts w:hint="eastAsia"/>
                <w:sz w:val="18"/>
                <w:szCs w:val="18"/>
              </w:rPr>
              <w:t>烟花爆竹</w:t>
            </w:r>
          </w:p>
        </w:tc>
      </w:tr>
      <w:tr>
        <w:tblPrEx>
          <w:tblCellMar>
            <w:top w:w="0" w:type="dxa"/>
            <w:left w:w="108" w:type="dxa"/>
            <w:bottom w:w="0" w:type="dxa"/>
            <w:right w:w="108" w:type="dxa"/>
          </w:tblCellMar>
        </w:tblPrEx>
        <w:trPr>
          <w:cantSplit/>
          <w:trHeight w:val="408" w:hRule="atLeast"/>
          <w:jc w:val="center"/>
        </w:trPr>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kern w:val="0"/>
                <w:sz w:val="18"/>
                <w:szCs w:val="18"/>
              </w:rPr>
            </w:pPr>
            <w:r>
              <w:rPr>
                <w:rFonts w:hint="eastAsia" w:ascii="宋体" w:hAnsi="宋体" w:eastAsia="宋体" w:cs="宋体"/>
                <w:kern w:val="0"/>
                <w:sz w:val="18"/>
                <w:szCs w:val="18"/>
              </w:rPr>
              <w:t>159</w:t>
            </w:r>
          </w:p>
        </w:tc>
        <w:tc>
          <w:tcPr>
            <w:tcW w:w="1116" w:type="dxa"/>
            <w:tcBorders>
              <w:top w:val="single" w:color="auto" w:sz="4" w:space="0"/>
              <w:left w:val="nil"/>
              <w:bottom w:val="single" w:color="auto" w:sz="4" w:space="0"/>
              <w:right w:val="single" w:color="auto" w:sz="4" w:space="0"/>
            </w:tcBorders>
            <w:shd w:val="clear" w:color="000000" w:fill="FFFFFF"/>
            <w:vAlign w:val="center"/>
          </w:tcPr>
          <w:p>
            <w:pPr>
              <w:widowControl/>
              <w:spacing w:line="250" w:lineRule="exact"/>
              <w:jc w:val="left"/>
              <w:rPr>
                <w:rFonts w:ascii="宋体" w:hAnsi="宋体" w:eastAsia="宋体" w:cs="宋体"/>
                <w:kern w:val="0"/>
                <w:sz w:val="18"/>
                <w:szCs w:val="18"/>
              </w:rPr>
            </w:pPr>
            <w:r>
              <w:rPr>
                <w:rFonts w:hint="eastAsia" w:ascii="宋体" w:hAnsi="宋体" w:eastAsia="宋体" w:cs="宋体"/>
                <w:kern w:val="0"/>
                <w:sz w:val="18"/>
                <w:szCs w:val="18"/>
              </w:rPr>
              <w:t>生产、经营第一类中的非药品类易制毒化学品审批</w:t>
            </w:r>
          </w:p>
        </w:tc>
        <w:tc>
          <w:tcPr>
            <w:tcW w:w="1673" w:type="dxa"/>
            <w:tcBorders>
              <w:top w:val="single" w:color="auto" w:sz="4" w:space="0"/>
              <w:left w:val="nil"/>
              <w:bottom w:val="single" w:color="auto" w:sz="4" w:space="0"/>
              <w:right w:val="single" w:color="auto" w:sz="4" w:space="0"/>
            </w:tcBorders>
            <w:shd w:val="clear" w:color="000000" w:fill="FFFFFF"/>
            <w:vAlign w:val="center"/>
          </w:tcPr>
          <w:p>
            <w:pPr>
              <w:widowControl/>
              <w:spacing w:line="250" w:lineRule="exact"/>
              <w:jc w:val="left"/>
              <w:rPr>
                <w:rFonts w:ascii="宋体" w:hAnsi="宋体" w:eastAsia="宋体" w:cs="宋体"/>
                <w:kern w:val="0"/>
                <w:sz w:val="18"/>
                <w:szCs w:val="18"/>
              </w:rPr>
            </w:pPr>
            <w:r>
              <w:rPr>
                <w:rFonts w:hint="eastAsia" w:ascii="宋体" w:hAnsi="宋体" w:eastAsia="宋体" w:cs="宋体"/>
                <w:kern w:val="0"/>
                <w:sz w:val="18"/>
                <w:szCs w:val="18"/>
              </w:rPr>
              <w:t>省应急管理厅</w:t>
            </w:r>
          </w:p>
        </w:tc>
        <w:tc>
          <w:tcPr>
            <w:tcW w:w="5002" w:type="dxa"/>
            <w:tcBorders>
              <w:top w:val="single" w:color="auto" w:sz="4" w:space="0"/>
              <w:left w:val="nil"/>
              <w:bottom w:val="single" w:color="auto" w:sz="4" w:space="0"/>
              <w:right w:val="single" w:color="auto" w:sz="4" w:space="0"/>
            </w:tcBorders>
            <w:shd w:val="clear" w:color="000000" w:fill="FFFFFF"/>
            <w:vAlign w:val="center"/>
          </w:tcPr>
          <w:p>
            <w:pPr>
              <w:widowControl/>
              <w:spacing w:line="250" w:lineRule="exact"/>
              <w:jc w:val="left"/>
              <w:rPr>
                <w:rFonts w:ascii="宋体" w:hAnsi="宋体" w:eastAsia="宋体" w:cs="宋体"/>
                <w:kern w:val="0"/>
                <w:sz w:val="18"/>
                <w:szCs w:val="18"/>
              </w:rPr>
            </w:pPr>
            <w:r>
              <w:rPr>
                <w:rFonts w:hint="eastAsia" w:ascii="宋体" w:hAnsi="宋体" w:eastAsia="宋体" w:cs="宋体"/>
                <w:kern w:val="0"/>
                <w:sz w:val="18"/>
                <w:szCs w:val="18"/>
              </w:rPr>
              <w:t xml:space="preserve">《易制毒化学品管理条例》(国务院令第445号)                                                          </w:t>
            </w:r>
          </w:p>
          <w:p>
            <w:pPr>
              <w:widowControl/>
              <w:spacing w:line="250" w:lineRule="exact"/>
              <w:jc w:val="left"/>
              <w:rPr>
                <w:rFonts w:ascii="宋体" w:hAnsi="宋体" w:eastAsia="宋体" w:cs="宋体"/>
                <w:kern w:val="0"/>
                <w:sz w:val="18"/>
                <w:szCs w:val="18"/>
              </w:rPr>
            </w:pPr>
            <w:r>
              <w:rPr>
                <w:rFonts w:hint="eastAsia" w:ascii="宋体" w:hAnsi="宋体" w:eastAsia="宋体" w:cs="宋体"/>
                <w:kern w:val="0"/>
                <w:sz w:val="18"/>
                <w:szCs w:val="18"/>
              </w:rPr>
              <w:t>《非药品类易制毒化学品生产、经营许可办法》（安全生产监管总局令第5号）</w:t>
            </w:r>
          </w:p>
          <w:p>
            <w:pPr>
              <w:widowControl/>
              <w:spacing w:line="250" w:lineRule="exact"/>
              <w:jc w:val="left"/>
              <w:rPr>
                <w:rFonts w:ascii="宋体" w:hAnsi="宋体" w:eastAsia="宋体" w:cs="宋体"/>
                <w:kern w:val="0"/>
                <w:sz w:val="18"/>
                <w:szCs w:val="18"/>
              </w:rPr>
            </w:pPr>
            <w:r>
              <w:rPr>
                <w:rFonts w:hint="eastAsia" w:ascii="宋体" w:hAnsi="宋体" w:eastAsia="宋体" w:cs="宋体"/>
                <w:kern w:val="0"/>
                <w:sz w:val="18"/>
                <w:szCs w:val="18"/>
              </w:rPr>
              <w:t>《国务院关于取消和调整一批行政审批项目等事项的决定》（国发〔2014〕50号）</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250" w:lineRule="exact"/>
              <w:rPr>
                <w:rFonts w:ascii="宋体" w:hAnsi="宋体" w:eastAsia="宋体" w:cs="宋体"/>
                <w:sz w:val="18"/>
                <w:szCs w:val="18"/>
              </w:rPr>
            </w:pPr>
            <w:r>
              <w:rPr>
                <w:rFonts w:hint="eastAsia"/>
                <w:sz w:val="18"/>
                <w:szCs w:val="18"/>
              </w:rPr>
              <w:t>化学品</w:t>
            </w:r>
          </w:p>
        </w:tc>
      </w:tr>
      <w:tr>
        <w:tblPrEx>
          <w:tblCellMar>
            <w:top w:w="0" w:type="dxa"/>
            <w:left w:w="108" w:type="dxa"/>
            <w:bottom w:w="0" w:type="dxa"/>
            <w:right w:w="108" w:type="dxa"/>
          </w:tblCellMar>
        </w:tblPrEx>
        <w:trPr>
          <w:cantSplit/>
          <w:trHeight w:val="1336" w:hRule="atLeast"/>
          <w:jc w:val="center"/>
        </w:trPr>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kern w:val="0"/>
                <w:sz w:val="18"/>
                <w:szCs w:val="18"/>
              </w:rPr>
            </w:pPr>
            <w:r>
              <w:rPr>
                <w:rFonts w:hint="eastAsia" w:ascii="宋体" w:hAnsi="宋体" w:eastAsia="宋体" w:cs="宋体"/>
                <w:kern w:val="0"/>
                <w:sz w:val="18"/>
                <w:szCs w:val="18"/>
              </w:rPr>
              <w:t>160</w:t>
            </w:r>
          </w:p>
        </w:tc>
        <w:tc>
          <w:tcPr>
            <w:tcW w:w="1116" w:type="dxa"/>
            <w:tcBorders>
              <w:top w:val="single" w:color="auto" w:sz="4" w:space="0"/>
              <w:left w:val="nil"/>
              <w:bottom w:val="single" w:color="auto" w:sz="4" w:space="0"/>
              <w:right w:val="single" w:color="auto" w:sz="4" w:space="0"/>
            </w:tcBorders>
            <w:shd w:val="clear" w:color="000000" w:fill="FFFFFF"/>
            <w:vAlign w:val="center"/>
          </w:tcPr>
          <w:p>
            <w:pPr>
              <w:widowControl/>
              <w:spacing w:line="250" w:lineRule="exact"/>
              <w:jc w:val="left"/>
              <w:rPr>
                <w:rFonts w:ascii="宋体" w:hAnsi="宋体" w:eastAsia="宋体" w:cs="宋体"/>
                <w:kern w:val="0"/>
                <w:sz w:val="18"/>
                <w:szCs w:val="18"/>
              </w:rPr>
            </w:pPr>
            <w:r>
              <w:rPr>
                <w:rFonts w:hint="eastAsia" w:ascii="宋体" w:hAnsi="宋体" w:eastAsia="宋体" w:cs="宋体"/>
                <w:kern w:val="0"/>
                <w:sz w:val="18"/>
                <w:szCs w:val="18"/>
              </w:rPr>
              <w:t>非煤矿山安全生产评价、检测、检验机构资质许可</w:t>
            </w:r>
          </w:p>
        </w:tc>
        <w:tc>
          <w:tcPr>
            <w:tcW w:w="1673" w:type="dxa"/>
            <w:tcBorders>
              <w:top w:val="single" w:color="auto" w:sz="4" w:space="0"/>
              <w:left w:val="nil"/>
              <w:bottom w:val="single" w:color="auto" w:sz="4" w:space="0"/>
              <w:right w:val="single" w:color="auto" w:sz="4" w:space="0"/>
            </w:tcBorders>
            <w:shd w:val="clear" w:color="000000" w:fill="FFFFFF"/>
            <w:vAlign w:val="center"/>
          </w:tcPr>
          <w:p>
            <w:pPr>
              <w:widowControl/>
              <w:spacing w:line="250" w:lineRule="exact"/>
              <w:jc w:val="left"/>
              <w:rPr>
                <w:rFonts w:ascii="宋体" w:hAnsi="宋体" w:eastAsia="宋体" w:cs="宋体"/>
                <w:kern w:val="0"/>
                <w:sz w:val="18"/>
                <w:szCs w:val="18"/>
              </w:rPr>
            </w:pPr>
            <w:r>
              <w:rPr>
                <w:rFonts w:hint="eastAsia" w:ascii="宋体" w:hAnsi="宋体" w:eastAsia="宋体" w:cs="宋体"/>
                <w:kern w:val="0"/>
                <w:sz w:val="18"/>
                <w:szCs w:val="18"/>
              </w:rPr>
              <w:t>省应急管理厅</w:t>
            </w:r>
          </w:p>
        </w:tc>
        <w:tc>
          <w:tcPr>
            <w:tcW w:w="5002" w:type="dxa"/>
            <w:tcBorders>
              <w:top w:val="single" w:color="auto" w:sz="4" w:space="0"/>
              <w:left w:val="nil"/>
              <w:bottom w:val="single" w:color="auto" w:sz="4" w:space="0"/>
              <w:right w:val="single" w:color="auto" w:sz="4" w:space="0"/>
            </w:tcBorders>
            <w:shd w:val="clear" w:color="000000" w:fill="FFFFFF"/>
            <w:vAlign w:val="center"/>
          </w:tcPr>
          <w:p>
            <w:pPr>
              <w:widowControl/>
              <w:spacing w:line="250" w:lineRule="exact"/>
              <w:jc w:val="left"/>
              <w:rPr>
                <w:rFonts w:ascii="宋体" w:hAnsi="宋体" w:eastAsia="宋体" w:cs="宋体"/>
                <w:kern w:val="0"/>
                <w:sz w:val="18"/>
                <w:szCs w:val="18"/>
              </w:rPr>
            </w:pPr>
            <w:r>
              <w:rPr>
                <w:rFonts w:hint="eastAsia" w:ascii="宋体" w:hAnsi="宋体" w:eastAsia="宋体" w:cs="宋体"/>
                <w:kern w:val="0"/>
                <w:sz w:val="18"/>
                <w:szCs w:val="18"/>
              </w:rPr>
              <w:t xml:space="preserve">《安全生产法》                                                                                               </w:t>
            </w:r>
          </w:p>
          <w:p>
            <w:pPr>
              <w:widowControl/>
              <w:spacing w:line="250" w:lineRule="exact"/>
              <w:jc w:val="left"/>
              <w:rPr>
                <w:rFonts w:ascii="宋体" w:hAnsi="宋体" w:eastAsia="宋体" w:cs="宋体"/>
                <w:kern w:val="0"/>
                <w:sz w:val="18"/>
                <w:szCs w:val="18"/>
              </w:rPr>
            </w:pPr>
            <w:r>
              <w:rPr>
                <w:rFonts w:hint="eastAsia" w:ascii="宋体" w:hAnsi="宋体" w:eastAsia="宋体" w:cs="宋体"/>
                <w:kern w:val="0"/>
                <w:sz w:val="18"/>
                <w:szCs w:val="18"/>
              </w:rPr>
              <w:t xml:space="preserve">《安全评价机构管理规定》（安全生产监管总局令第22号）                                                                   </w:t>
            </w:r>
          </w:p>
          <w:p>
            <w:pPr>
              <w:widowControl/>
              <w:spacing w:line="250" w:lineRule="exact"/>
              <w:jc w:val="left"/>
              <w:rPr>
                <w:rFonts w:ascii="宋体" w:hAnsi="宋体" w:eastAsia="宋体" w:cs="宋体"/>
                <w:kern w:val="0"/>
                <w:sz w:val="18"/>
                <w:szCs w:val="18"/>
              </w:rPr>
            </w:pPr>
            <w:r>
              <w:rPr>
                <w:rFonts w:hint="eastAsia" w:ascii="宋体" w:hAnsi="宋体" w:eastAsia="宋体" w:cs="宋体"/>
                <w:kern w:val="0"/>
                <w:sz w:val="18"/>
                <w:szCs w:val="18"/>
              </w:rPr>
              <w:t>《安全生产检测检验机构管理规定》（安全生产监管总局令第12号）</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250" w:lineRule="exact"/>
              <w:rPr>
                <w:rFonts w:ascii="宋体" w:hAnsi="宋体" w:eastAsia="宋体" w:cs="宋体"/>
                <w:sz w:val="18"/>
                <w:szCs w:val="18"/>
              </w:rPr>
            </w:pPr>
            <w:r>
              <w:rPr>
                <w:rFonts w:hint="eastAsia"/>
                <w:sz w:val="18"/>
                <w:szCs w:val="18"/>
              </w:rPr>
              <w:t>安全评价、安全检测、安全检验</w:t>
            </w:r>
          </w:p>
        </w:tc>
      </w:tr>
      <w:tr>
        <w:tblPrEx>
          <w:tblCellMar>
            <w:top w:w="0" w:type="dxa"/>
            <w:left w:w="108" w:type="dxa"/>
            <w:bottom w:w="0" w:type="dxa"/>
            <w:right w:w="108" w:type="dxa"/>
          </w:tblCellMar>
        </w:tblPrEx>
        <w:trPr>
          <w:cantSplit/>
          <w:trHeight w:val="408" w:hRule="atLeast"/>
          <w:jc w:val="center"/>
        </w:trPr>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kern w:val="0"/>
                <w:sz w:val="18"/>
                <w:szCs w:val="18"/>
              </w:rPr>
            </w:pPr>
            <w:r>
              <w:rPr>
                <w:rFonts w:hint="eastAsia" w:ascii="宋体" w:hAnsi="宋体" w:eastAsia="宋体" w:cs="宋体"/>
                <w:kern w:val="0"/>
                <w:sz w:val="18"/>
                <w:szCs w:val="18"/>
              </w:rPr>
              <w:t>161</w:t>
            </w:r>
          </w:p>
        </w:tc>
        <w:tc>
          <w:tcPr>
            <w:tcW w:w="1116"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消防技术服务机构资质审批</w:t>
            </w:r>
          </w:p>
        </w:tc>
        <w:tc>
          <w:tcPr>
            <w:tcW w:w="1673"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省、设区市应急管理部门</w:t>
            </w:r>
          </w:p>
        </w:tc>
        <w:tc>
          <w:tcPr>
            <w:tcW w:w="5002"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《消防法》</w:t>
            </w:r>
          </w:p>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《社会消防技术服务管理规定》（公安部令第129号）</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sz w:val="18"/>
                <w:szCs w:val="18"/>
              </w:rPr>
            </w:pPr>
            <w:r>
              <w:rPr>
                <w:rFonts w:hint="eastAsia"/>
                <w:sz w:val="18"/>
                <w:szCs w:val="18"/>
              </w:rPr>
              <w:t>消防检测、消防评估</w:t>
            </w:r>
          </w:p>
        </w:tc>
      </w:tr>
      <w:tr>
        <w:tblPrEx>
          <w:tblCellMar>
            <w:top w:w="0" w:type="dxa"/>
            <w:left w:w="108" w:type="dxa"/>
            <w:bottom w:w="0" w:type="dxa"/>
            <w:right w:w="108" w:type="dxa"/>
          </w:tblCellMar>
        </w:tblPrEx>
        <w:trPr>
          <w:cantSplit/>
          <w:trHeight w:val="408" w:hRule="atLeast"/>
          <w:jc w:val="center"/>
        </w:trPr>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kern w:val="0"/>
                <w:sz w:val="18"/>
                <w:szCs w:val="18"/>
              </w:rPr>
            </w:pPr>
            <w:r>
              <w:rPr>
                <w:rFonts w:hint="eastAsia" w:ascii="宋体" w:hAnsi="宋体" w:eastAsia="宋体" w:cs="宋体"/>
                <w:kern w:val="0"/>
                <w:sz w:val="18"/>
                <w:szCs w:val="18"/>
              </w:rPr>
              <w:t>162</w:t>
            </w:r>
          </w:p>
        </w:tc>
        <w:tc>
          <w:tcPr>
            <w:tcW w:w="1116" w:type="dxa"/>
            <w:tcBorders>
              <w:top w:val="single" w:color="auto" w:sz="4" w:space="0"/>
              <w:left w:val="nil"/>
              <w:bottom w:val="single" w:color="auto" w:sz="4" w:space="0"/>
              <w:right w:val="single" w:color="auto" w:sz="4" w:space="0"/>
            </w:tcBorders>
            <w:shd w:val="clear" w:color="000000" w:fill="FFFFFF"/>
            <w:vAlign w:val="center"/>
          </w:tcPr>
          <w:p>
            <w:pPr>
              <w:widowControl/>
              <w:spacing w:line="250" w:lineRule="exact"/>
              <w:jc w:val="left"/>
              <w:rPr>
                <w:rFonts w:ascii="宋体" w:hAnsi="宋体" w:eastAsia="宋体" w:cs="宋体"/>
                <w:kern w:val="0"/>
                <w:sz w:val="18"/>
                <w:szCs w:val="18"/>
              </w:rPr>
            </w:pPr>
            <w:r>
              <w:rPr>
                <w:rFonts w:hint="eastAsia" w:ascii="宋体" w:hAnsi="宋体" w:eastAsia="宋体" w:cs="宋体"/>
                <w:kern w:val="0"/>
                <w:sz w:val="18"/>
                <w:szCs w:val="18"/>
              </w:rPr>
              <w:t>煤矿企业安全生产许可</w:t>
            </w:r>
          </w:p>
        </w:tc>
        <w:tc>
          <w:tcPr>
            <w:tcW w:w="1673" w:type="dxa"/>
            <w:tcBorders>
              <w:top w:val="single" w:color="auto" w:sz="4" w:space="0"/>
              <w:left w:val="nil"/>
              <w:bottom w:val="single" w:color="auto" w:sz="4" w:space="0"/>
              <w:right w:val="single" w:color="auto" w:sz="4" w:space="0"/>
            </w:tcBorders>
            <w:shd w:val="clear" w:color="000000" w:fill="FFFFFF"/>
            <w:vAlign w:val="center"/>
          </w:tcPr>
          <w:p>
            <w:pPr>
              <w:widowControl/>
              <w:spacing w:line="250" w:lineRule="exact"/>
              <w:jc w:val="left"/>
              <w:rPr>
                <w:rFonts w:ascii="宋体" w:hAnsi="宋体" w:eastAsia="宋体" w:cs="宋体"/>
                <w:kern w:val="0"/>
                <w:sz w:val="18"/>
                <w:szCs w:val="18"/>
              </w:rPr>
            </w:pPr>
            <w:r>
              <w:rPr>
                <w:rFonts w:hint="eastAsia" w:ascii="宋体" w:hAnsi="宋体" w:eastAsia="宋体" w:cs="宋体"/>
                <w:kern w:val="0"/>
                <w:sz w:val="18"/>
                <w:szCs w:val="18"/>
              </w:rPr>
              <w:t>辽宁煤矿安全监察局</w:t>
            </w:r>
          </w:p>
        </w:tc>
        <w:tc>
          <w:tcPr>
            <w:tcW w:w="5002" w:type="dxa"/>
            <w:tcBorders>
              <w:top w:val="single" w:color="auto" w:sz="4" w:space="0"/>
              <w:left w:val="nil"/>
              <w:bottom w:val="single" w:color="auto" w:sz="4" w:space="0"/>
              <w:right w:val="single" w:color="auto" w:sz="4" w:space="0"/>
            </w:tcBorders>
            <w:shd w:val="clear" w:color="000000" w:fill="FFFFFF"/>
            <w:vAlign w:val="center"/>
          </w:tcPr>
          <w:p>
            <w:pPr>
              <w:widowControl/>
              <w:spacing w:line="250" w:lineRule="exact"/>
              <w:jc w:val="left"/>
              <w:rPr>
                <w:rFonts w:ascii="宋体" w:hAnsi="宋体" w:eastAsia="宋体" w:cs="宋体"/>
                <w:kern w:val="0"/>
                <w:sz w:val="18"/>
                <w:szCs w:val="18"/>
              </w:rPr>
            </w:pPr>
            <w:r>
              <w:rPr>
                <w:rFonts w:hint="eastAsia" w:ascii="宋体" w:hAnsi="宋体" w:eastAsia="宋体" w:cs="宋体"/>
                <w:kern w:val="0"/>
                <w:sz w:val="18"/>
                <w:szCs w:val="18"/>
              </w:rPr>
              <w:t xml:space="preserve">《安全生产许可证条例》（国务院令第397号）                                                                   </w:t>
            </w:r>
          </w:p>
          <w:p>
            <w:pPr>
              <w:widowControl/>
              <w:spacing w:line="250" w:lineRule="exact"/>
              <w:jc w:val="left"/>
              <w:rPr>
                <w:rFonts w:ascii="宋体" w:hAnsi="宋体" w:eastAsia="宋体" w:cs="宋体"/>
                <w:kern w:val="0"/>
                <w:sz w:val="18"/>
                <w:szCs w:val="18"/>
              </w:rPr>
            </w:pPr>
            <w:r>
              <w:rPr>
                <w:rFonts w:hint="eastAsia" w:ascii="宋体" w:hAnsi="宋体" w:eastAsia="宋体" w:cs="宋体"/>
                <w:kern w:val="0"/>
                <w:sz w:val="18"/>
                <w:szCs w:val="18"/>
              </w:rPr>
              <w:t>《煤矿企业安全生产许可证实施办法》（安全生产监管总局令第86号）</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250" w:lineRule="exact"/>
              <w:rPr>
                <w:rFonts w:ascii="宋体" w:hAnsi="宋体" w:eastAsia="宋体" w:cs="宋体"/>
                <w:sz w:val="18"/>
                <w:szCs w:val="18"/>
              </w:rPr>
            </w:pPr>
            <w:r>
              <w:rPr>
                <w:rFonts w:hint="eastAsia"/>
                <w:sz w:val="18"/>
                <w:szCs w:val="18"/>
              </w:rPr>
              <w:t>煤矿</w:t>
            </w:r>
          </w:p>
        </w:tc>
      </w:tr>
      <w:tr>
        <w:tblPrEx>
          <w:tblCellMar>
            <w:top w:w="0" w:type="dxa"/>
            <w:left w:w="108" w:type="dxa"/>
            <w:bottom w:w="0" w:type="dxa"/>
            <w:right w:w="108" w:type="dxa"/>
          </w:tblCellMar>
        </w:tblPrEx>
        <w:trPr>
          <w:cantSplit/>
          <w:trHeight w:val="734" w:hRule="atLeast"/>
          <w:jc w:val="center"/>
        </w:trPr>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kern w:val="0"/>
                <w:sz w:val="18"/>
                <w:szCs w:val="18"/>
              </w:rPr>
            </w:pPr>
            <w:r>
              <w:rPr>
                <w:rFonts w:hint="eastAsia" w:ascii="宋体" w:hAnsi="宋体" w:eastAsia="宋体" w:cs="宋体"/>
                <w:kern w:val="0"/>
                <w:sz w:val="18"/>
                <w:szCs w:val="18"/>
              </w:rPr>
              <w:t>163</w:t>
            </w:r>
          </w:p>
        </w:tc>
        <w:tc>
          <w:tcPr>
            <w:tcW w:w="1116"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煤矿安全生产、评价、检测、检验机构资质许可</w:t>
            </w:r>
          </w:p>
        </w:tc>
        <w:tc>
          <w:tcPr>
            <w:tcW w:w="1673" w:type="dxa"/>
            <w:tcBorders>
              <w:top w:val="single" w:color="auto" w:sz="4" w:space="0"/>
              <w:left w:val="nil"/>
              <w:bottom w:val="single" w:color="auto" w:sz="4" w:space="0"/>
              <w:right w:val="single" w:color="auto" w:sz="4" w:space="0"/>
            </w:tcBorders>
            <w:shd w:val="clear" w:color="000000" w:fill="FFFFFF"/>
            <w:vAlign w:val="center"/>
          </w:tcPr>
          <w:p>
            <w:pPr>
              <w:widowControl/>
              <w:spacing w:line="250" w:lineRule="exact"/>
              <w:jc w:val="left"/>
              <w:rPr>
                <w:rFonts w:ascii="宋体" w:hAnsi="宋体" w:eastAsia="宋体" w:cs="宋体"/>
                <w:kern w:val="0"/>
                <w:sz w:val="18"/>
                <w:szCs w:val="18"/>
              </w:rPr>
            </w:pPr>
            <w:r>
              <w:rPr>
                <w:rFonts w:hint="eastAsia" w:ascii="宋体" w:hAnsi="宋体" w:eastAsia="宋体" w:cs="宋体"/>
                <w:kern w:val="0"/>
                <w:sz w:val="18"/>
                <w:szCs w:val="18"/>
              </w:rPr>
              <w:t>辽宁煤矿安全监察局</w:t>
            </w:r>
          </w:p>
        </w:tc>
        <w:tc>
          <w:tcPr>
            <w:tcW w:w="5002" w:type="dxa"/>
            <w:tcBorders>
              <w:top w:val="single" w:color="auto" w:sz="4" w:space="0"/>
              <w:left w:val="nil"/>
              <w:bottom w:val="single" w:color="auto" w:sz="4" w:space="0"/>
              <w:right w:val="single" w:color="auto" w:sz="4" w:space="0"/>
            </w:tcBorders>
            <w:shd w:val="clear" w:color="000000" w:fill="FFFFFF"/>
            <w:vAlign w:val="center"/>
          </w:tcPr>
          <w:p>
            <w:pPr>
              <w:widowControl/>
              <w:spacing w:line="250" w:lineRule="exact"/>
              <w:jc w:val="left"/>
              <w:rPr>
                <w:rFonts w:ascii="宋体" w:hAnsi="宋体" w:eastAsia="宋体" w:cs="宋体"/>
                <w:kern w:val="0"/>
                <w:sz w:val="18"/>
                <w:szCs w:val="18"/>
              </w:rPr>
            </w:pPr>
            <w:r>
              <w:rPr>
                <w:rFonts w:hint="eastAsia" w:ascii="宋体" w:hAnsi="宋体" w:eastAsia="宋体" w:cs="宋体"/>
                <w:kern w:val="0"/>
                <w:sz w:val="18"/>
                <w:szCs w:val="18"/>
              </w:rPr>
              <w:t xml:space="preserve">《安全生产法》                                                                                               </w:t>
            </w:r>
          </w:p>
          <w:p>
            <w:pPr>
              <w:widowControl/>
              <w:spacing w:line="250" w:lineRule="exact"/>
              <w:jc w:val="left"/>
              <w:rPr>
                <w:rFonts w:ascii="宋体" w:hAnsi="宋体" w:eastAsia="宋体" w:cs="宋体"/>
                <w:kern w:val="0"/>
                <w:sz w:val="18"/>
                <w:szCs w:val="18"/>
              </w:rPr>
            </w:pPr>
            <w:r>
              <w:rPr>
                <w:rFonts w:hint="eastAsia" w:ascii="宋体" w:hAnsi="宋体" w:eastAsia="宋体" w:cs="宋体"/>
                <w:kern w:val="0"/>
                <w:sz w:val="18"/>
                <w:szCs w:val="18"/>
              </w:rPr>
              <w:t xml:space="preserve">《安全评价机构管理规定》（安全生产监管总局令第22号）                                                                   </w:t>
            </w:r>
          </w:p>
          <w:p>
            <w:pPr>
              <w:widowControl/>
              <w:spacing w:line="250" w:lineRule="exact"/>
              <w:jc w:val="left"/>
              <w:rPr>
                <w:rFonts w:ascii="宋体" w:hAnsi="宋体" w:eastAsia="宋体" w:cs="宋体"/>
                <w:kern w:val="0"/>
                <w:sz w:val="18"/>
                <w:szCs w:val="18"/>
              </w:rPr>
            </w:pPr>
            <w:r>
              <w:rPr>
                <w:rFonts w:hint="eastAsia" w:ascii="宋体" w:hAnsi="宋体" w:eastAsia="宋体" w:cs="宋体"/>
                <w:kern w:val="0"/>
                <w:sz w:val="18"/>
                <w:szCs w:val="18"/>
              </w:rPr>
              <w:t>《安全生产检测检验机构管理规定》（安全生产监管总局令第12号）</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250" w:lineRule="exact"/>
              <w:rPr>
                <w:rFonts w:ascii="宋体" w:hAnsi="宋体" w:eastAsia="宋体" w:cs="宋体"/>
                <w:sz w:val="18"/>
                <w:szCs w:val="18"/>
              </w:rPr>
            </w:pPr>
            <w:r>
              <w:rPr>
                <w:rFonts w:hint="eastAsia"/>
                <w:sz w:val="18"/>
                <w:szCs w:val="18"/>
              </w:rPr>
              <w:t>安全生产、评价、检测、检验</w:t>
            </w:r>
          </w:p>
        </w:tc>
      </w:tr>
      <w:tr>
        <w:tblPrEx>
          <w:tblCellMar>
            <w:top w:w="0" w:type="dxa"/>
            <w:left w:w="108" w:type="dxa"/>
            <w:bottom w:w="0" w:type="dxa"/>
            <w:right w:w="108" w:type="dxa"/>
          </w:tblCellMar>
        </w:tblPrEx>
        <w:trPr>
          <w:cantSplit/>
          <w:trHeight w:val="408" w:hRule="atLeast"/>
          <w:jc w:val="center"/>
        </w:trPr>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kern w:val="0"/>
                <w:sz w:val="18"/>
                <w:szCs w:val="18"/>
              </w:rPr>
            </w:pPr>
            <w:r>
              <w:rPr>
                <w:rFonts w:hint="eastAsia" w:ascii="宋体" w:hAnsi="宋体" w:eastAsia="宋体" w:cs="宋体"/>
                <w:kern w:val="0"/>
                <w:sz w:val="18"/>
                <w:szCs w:val="18"/>
              </w:rPr>
              <w:t>164</w:t>
            </w:r>
          </w:p>
        </w:tc>
        <w:tc>
          <w:tcPr>
            <w:tcW w:w="1116"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涉外统计调查机构资格认定</w:t>
            </w:r>
          </w:p>
        </w:tc>
        <w:tc>
          <w:tcPr>
            <w:tcW w:w="1673"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国家统计局或省统计局</w:t>
            </w:r>
          </w:p>
        </w:tc>
        <w:tc>
          <w:tcPr>
            <w:tcW w:w="5002"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《统计法》</w:t>
            </w:r>
          </w:p>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《统计法实施细则》（国务院令第681号）</w:t>
            </w:r>
          </w:p>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《涉外调查管理办法》（国家统计局令第7号）</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180" w:lineRule="exact"/>
              <w:rPr>
                <w:rFonts w:ascii="宋体" w:hAnsi="宋体" w:eastAsia="宋体" w:cs="宋体"/>
                <w:sz w:val="18"/>
                <w:szCs w:val="18"/>
              </w:rPr>
            </w:pPr>
            <w:r>
              <w:rPr>
                <w:rFonts w:hint="eastAsia"/>
                <w:sz w:val="18"/>
                <w:szCs w:val="18"/>
              </w:rPr>
              <w:t>涉外统计调查</w:t>
            </w:r>
          </w:p>
        </w:tc>
      </w:tr>
      <w:tr>
        <w:tblPrEx>
          <w:tblCellMar>
            <w:top w:w="0" w:type="dxa"/>
            <w:left w:w="108" w:type="dxa"/>
            <w:bottom w:w="0" w:type="dxa"/>
            <w:right w:w="108" w:type="dxa"/>
          </w:tblCellMar>
        </w:tblPrEx>
        <w:trPr>
          <w:cantSplit/>
          <w:trHeight w:val="698" w:hRule="atLeast"/>
          <w:jc w:val="center"/>
        </w:trPr>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kern w:val="0"/>
                <w:sz w:val="18"/>
                <w:szCs w:val="18"/>
              </w:rPr>
            </w:pPr>
            <w:r>
              <w:rPr>
                <w:rFonts w:hint="eastAsia" w:ascii="宋体" w:hAnsi="宋体" w:eastAsia="宋体" w:cs="宋体"/>
                <w:kern w:val="0"/>
                <w:sz w:val="18"/>
                <w:szCs w:val="18"/>
              </w:rPr>
              <w:t>165</w:t>
            </w:r>
          </w:p>
        </w:tc>
        <w:tc>
          <w:tcPr>
            <w:tcW w:w="1116"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涉外社会调查项目审批</w:t>
            </w:r>
          </w:p>
        </w:tc>
        <w:tc>
          <w:tcPr>
            <w:tcW w:w="1673"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国家统计局或省统计局</w:t>
            </w:r>
          </w:p>
        </w:tc>
        <w:tc>
          <w:tcPr>
            <w:tcW w:w="5002"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《统计法》</w:t>
            </w:r>
          </w:p>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《统计法实施细则》（国务院令第681号）</w:t>
            </w:r>
          </w:p>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《涉外调查管理办法》（国家统计局令第7号）</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180" w:lineRule="exact"/>
              <w:rPr>
                <w:rFonts w:ascii="宋体" w:hAnsi="宋体" w:eastAsia="宋体" w:cs="宋体"/>
                <w:sz w:val="18"/>
                <w:szCs w:val="18"/>
              </w:rPr>
            </w:pPr>
            <w:r>
              <w:rPr>
                <w:rFonts w:hint="eastAsia"/>
                <w:sz w:val="18"/>
                <w:szCs w:val="18"/>
              </w:rPr>
              <w:t>涉外社会调查</w:t>
            </w:r>
          </w:p>
        </w:tc>
      </w:tr>
      <w:tr>
        <w:tblPrEx>
          <w:tblCellMar>
            <w:top w:w="0" w:type="dxa"/>
            <w:left w:w="108" w:type="dxa"/>
            <w:bottom w:w="0" w:type="dxa"/>
            <w:right w:w="108" w:type="dxa"/>
          </w:tblCellMar>
        </w:tblPrEx>
        <w:trPr>
          <w:cantSplit/>
          <w:trHeight w:val="588" w:hRule="atLeast"/>
          <w:jc w:val="center"/>
        </w:trPr>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180" w:lineRule="exact"/>
              <w:jc w:val="center"/>
              <w:rPr>
                <w:rFonts w:ascii="宋体" w:hAnsi="宋体" w:eastAsia="宋体" w:cs="宋体"/>
                <w:kern w:val="0"/>
                <w:sz w:val="18"/>
                <w:szCs w:val="18"/>
              </w:rPr>
            </w:pPr>
            <w:r>
              <w:rPr>
                <w:rFonts w:hint="eastAsia" w:ascii="宋体" w:hAnsi="宋体" w:eastAsia="宋体" w:cs="宋体"/>
                <w:kern w:val="0"/>
                <w:sz w:val="18"/>
                <w:szCs w:val="18"/>
              </w:rPr>
              <w:t>166</w:t>
            </w:r>
          </w:p>
        </w:tc>
        <w:tc>
          <w:tcPr>
            <w:tcW w:w="1116"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人民防空工程设计、监理资质认定</w:t>
            </w:r>
          </w:p>
        </w:tc>
        <w:tc>
          <w:tcPr>
            <w:tcW w:w="1673"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国家人防办、省人防办</w:t>
            </w:r>
          </w:p>
        </w:tc>
        <w:tc>
          <w:tcPr>
            <w:tcW w:w="5002"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《国务院对确需保留的行政审批项目设定行政许可的決定》(国务院令第412号)</w:t>
            </w:r>
          </w:p>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《国务院关于第六批取消和调整行政审批项目的决定》（国发〔2012〕52号）</w:t>
            </w:r>
          </w:p>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《人防工程设计行政许可资质管理办法》（国人防〔2013〕417 号）</w:t>
            </w:r>
          </w:p>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《人防工程监理行政许可资质管理办法》（国人防〔2013〕227号）</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180" w:lineRule="exact"/>
              <w:rPr>
                <w:sz w:val="18"/>
                <w:szCs w:val="18"/>
              </w:rPr>
            </w:pPr>
            <w:r>
              <w:rPr>
                <w:rFonts w:hint="eastAsia"/>
                <w:sz w:val="18"/>
                <w:szCs w:val="18"/>
              </w:rPr>
              <w:t>人民防空</w:t>
            </w:r>
          </w:p>
          <w:p>
            <w:pPr>
              <w:spacing w:line="180" w:lineRule="exact"/>
              <w:rPr>
                <w:rFonts w:ascii="宋体" w:hAnsi="宋体" w:eastAsia="宋体" w:cs="宋体"/>
                <w:sz w:val="18"/>
                <w:szCs w:val="18"/>
              </w:rPr>
            </w:pPr>
            <w:r>
              <w:rPr>
                <w:rFonts w:hint="eastAsia"/>
                <w:sz w:val="18"/>
                <w:szCs w:val="18"/>
              </w:rPr>
              <w:t>人防工程</w:t>
            </w:r>
          </w:p>
        </w:tc>
      </w:tr>
      <w:tr>
        <w:tblPrEx>
          <w:tblCellMar>
            <w:top w:w="0" w:type="dxa"/>
            <w:left w:w="108" w:type="dxa"/>
            <w:bottom w:w="0" w:type="dxa"/>
            <w:right w:w="108" w:type="dxa"/>
          </w:tblCellMar>
        </w:tblPrEx>
        <w:trPr>
          <w:cantSplit/>
          <w:trHeight w:val="665" w:hRule="atLeast"/>
          <w:jc w:val="center"/>
        </w:trPr>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167</w:t>
            </w:r>
          </w:p>
        </w:tc>
        <w:tc>
          <w:tcPr>
            <w:tcW w:w="1116"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防雷装置检测资质认定</w:t>
            </w:r>
          </w:p>
        </w:tc>
        <w:tc>
          <w:tcPr>
            <w:tcW w:w="1673"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省气象局</w:t>
            </w:r>
          </w:p>
        </w:tc>
        <w:tc>
          <w:tcPr>
            <w:tcW w:w="5002" w:type="dxa"/>
            <w:tcBorders>
              <w:top w:val="single" w:color="auto" w:sz="4" w:space="0"/>
              <w:left w:val="nil"/>
              <w:bottom w:val="single" w:color="auto" w:sz="4" w:space="0"/>
              <w:right w:val="single" w:color="auto" w:sz="4" w:space="0"/>
            </w:tcBorders>
            <w:shd w:val="clear" w:color="000000" w:fill="FFFFFF"/>
            <w:vAlign w:val="center"/>
          </w:tcPr>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《气象灾害防御条例》（国务院令第570号）</w:t>
            </w:r>
          </w:p>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《国务院对确需保留的行政审批项目设定行政许可的决定》（国务院令第412号）</w:t>
            </w:r>
          </w:p>
          <w:p>
            <w:pPr>
              <w:widowControl/>
              <w:spacing w:line="180" w:lineRule="exact"/>
              <w:jc w:val="left"/>
              <w:rPr>
                <w:rFonts w:ascii="宋体" w:hAnsi="宋体" w:eastAsia="宋体" w:cs="宋体"/>
                <w:kern w:val="0"/>
                <w:sz w:val="18"/>
                <w:szCs w:val="18"/>
              </w:rPr>
            </w:pPr>
            <w:r>
              <w:rPr>
                <w:rFonts w:hint="eastAsia" w:ascii="宋体" w:hAnsi="宋体" w:eastAsia="宋体" w:cs="宋体"/>
                <w:kern w:val="0"/>
                <w:sz w:val="18"/>
                <w:szCs w:val="18"/>
              </w:rPr>
              <w:t>《雷电防护装置检测资质管理办法》（中国气象局令第31号）</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180" w:lineRule="exact"/>
              <w:rPr>
                <w:rFonts w:ascii="宋体" w:hAnsi="宋体" w:eastAsia="宋体" w:cs="宋体"/>
                <w:sz w:val="18"/>
                <w:szCs w:val="18"/>
              </w:rPr>
            </w:pPr>
            <w:r>
              <w:rPr>
                <w:rFonts w:hint="eastAsia"/>
                <w:sz w:val="18"/>
                <w:szCs w:val="18"/>
              </w:rPr>
              <w:t>防雷装置检测</w:t>
            </w:r>
          </w:p>
        </w:tc>
      </w:tr>
      <w:tr>
        <w:tblPrEx>
          <w:tblCellMar>
            <w:top w:w="0" w:type="dxa"/>
            <w:left w:w="108" w:type="dxa"/>
            <w:bottom w:w="0" w:type="dxa"/>
            <w:right w:w="108" w:type="dxa"/>
          </w:tblCellMar>
        </w:tblPrEx>
        <w:trPr>
          <w:cantSplit/>
          <w:trHeight w:val="566" w:hRule="atLeast"/>
          <w:jc w:val="center"/>
        </w:trPr>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50" w:lineRule="exact"/>
              <w:jc w:val="center"/>
              <w:rPr>
                <w:rFonts w:ascii="宋体" w:hAnsi="宋体" w:eastAsia="宋体" w:cs="宋体"/>
                <w:b/>
                <w:bCs/>
                <w:kern w:val="0"/>
                <w:sz w:val="18"/>
                <w:szCs w:val="18"/>
              </w:rPr>
            </w:pPr>
            <w:r>
              <w:rPr>
                <w:rFonts w:hint="eastAsia" w:ascii="宋体" w:hAnsi="宋体" w:eastAsia="宋体" w:cs="宋体"/>
                <w:b/>
                <w:bCs/>
                <w:kern w:val="0"/>
                <w:sz w:val="18"/>
                <w:szCs w:val="18"/>
              </w:rPr>
              <w:t>序号</w:t>
            </w:r>
          </w:p>
        </w:tc>
        <w:tc>
          <w:tcPr>
            <w:tcW w:w="1116" w:type="dxa"/>
            <w:tcBorders>
              <w:top w:val="single" w:color="auto" w:sz="4" w:space="0"/>
              <w:left w:val="nil"/>
              <w:bottom w:val="single" w:color="auto" w:sz="4" w:space="0"/>
              <w:right w:val="single" w:color="auto" w:sz="4" w:space="0"/>
            </w:tcBorders>
            <w:shd w:val="clear" w:color="000000" w:fill="FFFFFF"/>
            <w:vAlign w:val="center"/>
          </w:tcPr>
          <w:p>
            <w:pPr>
              <w:widowControl/>
              <w:spacing w:line="250" w:lineRule="exact"/>
              <w:jc w:val="center"/>
              <w:rPr>
                <w:rFonts w:ascii="宋体" w:hAnsi="宋体" w:eastAsia="宋体" w:cs="宋体"/>
                <w:b/>
                <w:bCs/>
                <w:kern w:val="0"/>
                <w:sz w:val="18"/>
                <w:szCs w:val="18"/>
              </w:rPr>
            </w:pPr>
            <w:r>
              <w:rPr>
                <w:rFonts w:hint="eastAsia" w:ascii="宋体" w:hAnsi="宋体" w:eastAsia="宋体" w:cs="宋体"/>
                <w:b/>
                <w:bCs/>
                <w:kern w:val="0"/>
                <w:sz w:val="18"/>
                <w:szCs w:val="18"/>
              </w:rPr>
              <w:t>项目名称</w:t>
            </w:r>
          </w:p>
        </w:tc>
        <w:tc>
          <w:tcPr>
            <w:tcW w:w="1673" w:type="dxa"/>
            <w:tcBorders>
              <w:top w:val="single" w:color="auto" w:sz="4" w:space="0"/>
              <w:left w:val="nil"/>
              <w:bottom w:val="single" w:color="auto" w:sz="4" w:space="0"/>
              <w:right w:val="single" w:color="auto" w:sz="4" w:space="0"/>
            </w:tcBorders>
            <w:shd w:val="clear" w:color="000000" w:fill="FFFFFF"/>
            <w:vAlign w:val="center"/>
          </w:tcPr>
          <w:p>
            <w:pPr>
              <w:widowControl/>
              <w:spacing w:line="250" w:lineRule="exact"/>
              <w:jc w:val="center"/>
              <w:rPr>
                <w:rFonts w:ascii="宋体" w:hAnsi="宋体" w:eastAsia="宋体" w:cs="宋体"/>
                <w:b/>
                <w:bCs/>
                <w:kern w:val="0"/>
                <w:sz w:val="18"/>
                <w:szCs w:val="18"/>
              </w:rPr>
            </w:pPr>
            <w:r>
              <w:rPr>
                <w:rFonts w:hint="eastAsia" w:ascii="宋体" w:hAnsi="宋体" w:eastAsia="宋体" w:cs="宋体"/>
                <w:b/>
                <w:bCs/>
                <w:kern w:val="0"/>
                <w:sz w:val="18"/>
                <w:szCs w:val="18"/>
              </w:rPr>
              <w:t>实施机关</w:t>
            </w:r>
          </w:p>
        </w:tc>
        <w:tc>
          <w:tcPr>
            <w:tcW w:w="5002" w:type="dxa"/>
            <w:tcBorders>
              <w:top w:val="single" w:color="auto" w:sz="4" w:space="0"/>
              <w:left w:val="nil"/>
              <w:bottom w:val="single" w:color="auto" w:sz="4" w:space="0"/>
              <w:right w:val="single" w:color="auto" w:sz="4" w:space="0"/>
            </w:tcBorders>
            <w:shd w:val="clear" w:color="000000" w:fill="FFFFFF"/>
            <w:vAlign w:val="center"/>
          </w:tcPr>
          <w:p>
            <w:pPr>
              <w:widowControl/>
              <w:spacing w:line="250" w:lineRule="exact"/>
              <w:jc w:val="center"/>
              <w:rPr>
                <w:rFonts w:ascii="宋体" w:hAnsi="宋体" w:eastAsia="宋体" w:cs="宋体"/>
                <w:b/>
                <w:bCs/>
                <w:kern w:val="0"/>
                <w:sz w:val="18"/>
                <w:szCs w:val="18"/>
              </w:rPr>
            </w:pPr>
            <w:r>
              <w:rPr>
                <w:rFonts w:hint="eastAsia" w:ascii="宋体" w:hAnsi="宋体" w:eastAsia="宋体" w:cs="宋体"/>
                <w:b/>
                <w:bCs/>
                <w:kern w:val="0"/>
                <w:sz w:val="18"/>
                <w:szCs w:val="18"/>
              </w:rPr>
              <w:t xml:space="preserve">设定依据                                                                                         </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250" w:lineRule="exact"/>
              <w:rPr>
                <w:rFonts w:ascii="宋体" w:hAnsi="宋体" w:eastAsia="宋体" w:cs="宋体"/>
                <w:sz w:val="18"/>
                <w:szCs w:val="18"/>
              </w:rPr>
            </w:pPr>
            <w:r>
              <w:rPr>
                <w:rFonts w:hint="eastAsia" w:ascii="宋体" w:hAnsi="宋体" w:eastAsia="宋体" w:cs="宋体"/>
                <w:b/>
                <w:bCs/>
                <w:kern w:val="0"/>
                <w:sz w:val="18"/>
                <w:szCs w:val="18"/>
              </w:rPr>
              <w:t>检索关键词</w:t>
            </w:r>
          </w:p>
        </w:tc>
      </w:tr>
      <w:tr>
        <w:tblPrEx>
          <w:tblCellMar>
            <w:top w:w="0" w:type="dxa"/>
            <w:left w:w="108" w:type="dxa"/>
            <w:bottom w:w="0" w:type="dxa"/>
            <w:right w:w="108" w:type="dxa"/>
          </w:tblCellMar>
        </w:tblPrEx>
        <w:trPr>
          <w:cantSplit/>
          <w:trHeight w:val="1207" w:hRule="atLeast"/>
          <w:jc w:val="center"/>
        </w:trPr>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168</w:t>
            </w:r>
          </w:p>
        </w:tc>
        <w:tc>
          <w:tcPr>
            <w:tcW w:w="1116" w:type="dxa"/>
            <w:tcBorders>
              <w:top w:val="single" w:color="auto" w:sz="4" w:space="0"/>
              <w:left w:val="nil"/>
              <w:bottom w:val="single" w:color="auto" w:sz="4" w:space="0"/>
              <w:right w:val="single" w:color="auto" w:sz="4" w:space="0"/>
            </w:tcBorders>
            <w:shd w:val="clear" w:color="000000" w:fill="FFFFFF"/>
            <w:vAlign w:val="center"/>
          </w:tcPr>
          <w:p>
            <w:pPr>
              <w:widowControl/>
              <w:spacing w:line="250" w:lineRule="exact"/>
              <w:jc w:val="left"/>
              <w:rPr>
                <w:rFonts w:ascii="宋体" w:hAnsi="宋体" w:eastAsia="宋体" w:cs="宋体"/>
                <w:kern w:val="0"/>
                <w:sz w:val="18"/>
                <w:szCs w:val="18"/>
              </w:rPr>
            </w:pPr>
            <w:r>
              <w:rPr>
                <w:rFonts w:hint="eastAsia" w:ascii="宋体" w:hAnsi="宋体" w:eastAsia="宋体" w:cs="宋体"/>
                <w:kern w:val="0"/>
                <w:sz w:val="18"/>
                <w:szCs w:val="18"/>
              </w:rPr>
              <w:t>升放无人驾驶自由气球、系留气球单位资质认定</w:t>
            </w:r>
          </w:p>
        </w:tc>
        <w:tc>
          <w:tcPr>
            <w:tcW w:w="1673" w:type="dxa"/>
            <w:tcBorders>
              <w:top w:val="single" w:color="auto" w:sz="4" w:space="0"/>
              <w:left w:val="nil"/>
              <w:bottom w:val="single" w:color="auto" w:sz="4" w:space="0"/>
              <w:right w:val="single" w:color="auto" w:sz="4" w:space="0"/>
            </w:tcBorders>
            <w:shd w:val="clear" w:color="000000" w:fill="FFFFFF"/>
            <w:vAlign w:val="center"/>
          </w:tcPr>
          <w:p>
            <w:pPr>
              <w:widowControl/>
              <w:spacing w:line="250" w:lineRule="exact"/>
              <w:jc w:val="left"/>
              <w:rPr>
                <w:rFonts w:ascii="宋体" w:hAnsi="宋体" w:eastAsia="宋体" w:cs="宋体"/>
                <w:kern w:val="0"/>
                <w:sz w:val="18"/>
                <w:szCs w:val="18"/>
              </w:rPr>
            </w:pPr>
            <w:r>
              <w:rPr>
                <w:rFonts w:hint="eastAsia" w:ascii="宋体" w:hAnsi="宋体" w:eastAsia="宋体" w:cs="宋体"/>
                <w:kern w:val="0"/>
                <w:sz w:val="18"/>
                <w:szCs w:val="18"/>
              </w:rPr>
              <w:t>设区市气象局</w:t>
            </w:r>
          </w:p>
        </w:tc>
        <w:tc>
          <w:tcPr>
            <w:tcW w:w="5002" w:type="dxa"/>
            <w:tcBorders>
              <w:top w:val="single" w:color="auto" w:sz="4" w:space="0"/>
              <w:left w:val="nil"/>
              <w:bottom w:val="single" w:color="auto" w:sz="4" w:space="0"/>
              <w:right w:val="single" w:color="auto" w:sz="4" w:space="0"/>
            </w:tcBorders>
            <w:shd w:val="clear" w:color="000000" w:fill="FFFFFF"/>
            <w:vAlign w:val="center"/>
          </w:tcPr>
          <w:p>
            <w:pPr>
              <w:widowControl/>
              <w:spacing w:line="250" w:lineRule="exact"/>
              <w:jc w:val="left"/>
              <w:rPr>
                <w:rFonts w:ascii="宋体" w:hAnsi="宋体" w:eastAsia="宋体" w:cs="宋体"/>
                <w:kern w:val="0"/>
                <w:sz w:val="18"/>
                <w:szCs w:val="18"/>
              </w:rPr>
            </w:pPr>
            <w:r>
              <w:rPr>
                <w:rFonts w:hint="eastAsia" w:ascii="宋体" w:hAnsi="宋体" w:eastAsia="宋体" w:cs="宋体"/>
                <w:kern w:val="0"/>
                <w:sz w:val="18"/>
                <w:szCs w:val="18"/>
              </w:rPr>
              <w:t>《国务院对确需保留的行政审批项目设定行政许可的决定》（国务院令第412号）</w:t>
            </w:r>
          </w:p>
          <w:p>
            <w:pPr>
              <w:widowControl/>
              <w:spacing w:line="250" w:lineRule="exact"/>
              <w:jc w:val="left"/>
              <w:rPr>
                <w:rFonts w:ascii="宋体" w:hAnsi="宋体" w:eastAsia="宋体" w:cs="宋体"/>
                <w:kern w:val="0"/>
                <w:sz w:val="18"/>
                <w:szCs w:val="18"/>
              </w:rPr>
            </w:pPr>
            <w:r>
              <w:rPr>
                <w:rFonts w:hint="eastAsia" w:ascii="宋体" w:hAnsi="宋体" w:eastAsia="宋体" w:cs="宋体"/>
                <w:kern w:val="0"/>
                <w:sz w:val="18"/>
                <w:szCs w:val="18"/>
              </w:rPr>
              <w:t>《施放气球管理办法》（中国气象局令第9号）</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250" w:lineRule="exact"/>
              <w:rPr>
                <w:rFonts w:ascii="宋体" w:hAnsi="宋体" w:eastAsia="宋体" w:cs="宋体"/>
                <w:sz w:val="18"/>
                <w:szCs w:val="18"/>
              </w:rPr>
            </w:pPr>
            <w:r>
              <w:rPr>
                <w:rFonts w:hint="eastAsia"/>
                <w:sz w:val="18"/>
                <w:szCs w:val="18"/>
              </w:rPr>
              <w:t>施放气球</w:t>
            </w:r>
          </w:p>
        </w:tc>
      </w:tr>
      <w:tr>
        <w:tblPrEx>
          <w:tblCellMar>
            <w:top w:w="0" w:type="dxa"/>
            <w:left w:w="108" w:type="dxa"/>
            <w:bottom w:w="0" w:type="dxa"/>
            <w:right w:w="108" w:type="dxa"/>
          </w:tblCellMar>
        </w:tblPrEx>
        <w:trPr>
          <w:cantSplit/>
          <w:trHeight w:val="658" w:hRule="atLeast"/>
          <w:jc w:val="center"/>
        </w:trPr>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50" w:lineRule="exact"/>
              <w:jc w:val="center"/>
              <w:rPr>
                <w:rFonts w:ascii="宋体" w:hAnsi="宋体" w:eastAsia="宋体" w:cs="宋体"/>
                <w:kern w:val="0"/>
                <w:sz w:val="18"/>
                <w:szCs w:val="18"/>
              </w:rPr>
            </w:pPr>
            <w:r>
              <w:rPr>
                <w:rFonts w:hint="eastAsia" w:ascii="宋体" w:hAnsi="宋体" w:eastAsia="宋体" w:cs="宋体"/>
                <w:kern w:val="0"/>
                <w:sz w:val="18"/>
                <w:szCs w:val="18"/>
              </w:rPr>
              <w:t>169</w:t>
            </w:r>
          </w:p>
        </w:tc>
        <w:tc>
          <w:tcPr>
            <w:tcW w:w="1116" w:type="dxa"/>
            <w:tcBorders>
              <w:top w:val="single" w:color="auto" w:sz="4" w:space="0"/>
              <w:left w:val="nil"/>
              <w:bottom w:val="single" w:color="auto" w:sz="4" w:space="0"/>
              <w:right w:val="single" w:color="auto" w:sz="4" w:space="0"/>
            </w:tcBorders>
            <w:shd w:val="clear" w:color="000000" w:fill="FFFFFF"/>
            <w:vAlign w:val="center"/>
          </w:tcPr>
          <w:p>
            <w:pPr>
              <w:widowControl/>
              <w:spacing w:line="250" w:lineRule="exact"/>
              <w:jc w:val="left"/>
              <w:rPr>
                <w:rFonts w:ascii="宋体" w:hAnsi="宋体" w:eastAsia="宋体" w:cs="宋体"/>
                <w:kern w:val="0"/>
                <w:sz w:val="18"/>
                <w:szCs w:val="18"/>
              </w:rPr>
            </w:pPr>
            <w:r>
              <w:rPr>
                <w:rFonts w:hint="eastAsia" w:ascii="宋体" w:hAnsi="宋体" w:eastAsia="宋体" w:cs="宋体"/>
                <w:kern w:val="0"/>
                <w:sz w:val="18"/>
                <w:szCs w:val="18"/>
              </w:rPr>
              <w:t>口岸卫生许可证核发</w:t>
            </w:r>
          </w:p>
        </w:tc>
        <w:tc>
          <w:tcPr>
            <w:tcW w:w="1673" w:type="dxa"/>
            <w:tcBorders>
              <w:top w:val="single" w:color="auto" w:sz="4" w:space="0"/>
              <w:left w:val="nil"/>
              <w:bottom w:val="single" w:color="auto" w:sz="4" w:space="0"/>
              <w:right w:val="single" w:color="auto" w:sz="4" w:space="0"/>
            </w:tcBorders>
            <w:shd w:val="clear" w:color="000000" w:fill="FFFFFF"/>
            <w:vAlign w:val="center"/>
          </w:tcPr>
          <w:p>
            <w:pPr>
              <w:widowControl/>
              <w:spacing w:line="250" w:lineRule="exact"/>
              <w:jc w:val="left"/>
              <w:rPr>
                <w:rFonts w:ascii="宋体" w:hAnsi="宋体" w:eastAsia="宋体" w:cs="宋体"/>
                <w:kern w:val="0"/>
                <w:sz w:val="18"/>
                <w:szCs w:val="18"/>
              </w:rPr>
            </w:pPr>
            <w:r>
              <w:rPr>
                <w:rFonts w:hint="eastAsia" w:ascii="宋体" w:hAnsi="宋体" w:eastAsia="宋体" w:cs="宋体"/>
                <w:kern w:val="0"/>
                <w:sz w:val="18"/>
                <w:szCs w:val="18"/>
              </w:rPr>
              <w:t>沈阳海关、</w:t>
            </w:r>
          </w:p>
          <w:p>
            <w:pPr>
              <w:widowControl/>
              <w:spacing w:line="250" w:lineRule="exact"/>
              <w:jc w:val="left"/>
              <w:rPr>
                <w:rFonts w:ascii="宋体" w:hAnsi="宋体" w:eastAsia="宋体" w:cs="宋体"/>
                <w:kern w:val="0"/>
                <w:sz w:val="18"/>
                <w:szCs w:val="18"/>
              </w:rPr>
            </w:pPr>
            <w:r>
              <w:rPr>
                <w:rFonts w:hint="eastAsia" w:ascii="宋体" w:hAnsi="宋体" w:eastAsia="宋体" w:cs="宋体"/>
                <w:kern w:val="0"/>
                <w:sz w:val="18"/>
                <w:szCs w:val="18"/>
              </w:rPr>
              <w:t>大连海关</w:t>
            </w:r>
          </w:p>
        </w:tc>
        <w:tc>
          <w:tcPr>
            <w:tcW w:w="5002" w:type="dxa"/>
            <w:tcBorders>
              <w:top w:val="single" w:color="auto" w:sz="4" w:space="0"/>
              <w:left w:val="nil"/>
              <w:bottom w:val="single" w:color="auto" w:sz="4" w:space="0"/>
              <w:right w:val="single" w:color="auto" w:sz="4" w:space="0"/>
            </w:tcBorders>
            <w:shd w:val="clear" w:color="000000" w:fill="FFFFFF"/>
            <w:vAlign w:val="center"/>
          </w:tcPr>
          <w:p>
            <w:pPr>
              <w:widowControl/>
              <w:spacing w:line="250" w:lineRule="exact"/>
              <w:jc w:val="left"/>
              <w:rPr>
                <w:rFonts w:ascii="宋体" w:hAnsi="宋体" w:eastAsia="宋体" w:cs="宋体"/>
                <w:kern w:val="0"/>
                <w:sz w:val="18"/>
                <w:szCs w:val="18"/>
              </w:rPr>
            </w:pPr>
            <w:r>
              <w:rPr>
                <w:rFonts w:hint="eastAsia" w:ascii="宋体" w:hAnsi="宋体" w:eastAsia="宋体" w:cs="宋体"/>
                <w:kern w:val="0"/>
                <w:sz w:val="18"/>
                <w:szCs w:val="18"/>
              </w:rPr>
              <w:t>《国境卫生检疫法实施细则》(国务院令第574号)</w:t>
            </w:r>
          </w:p>
          <w:p>
            <w:pPr>
              <w:widowControl/>
              <w:spacing w:line="250" w:lineRule="exact"/>
              <w:jc w:val="left"/>
              <w:rPr>
                <w:rFonts w:ascii="宋体" w:hAnsi="宋体" w:eastAsia="宋体" w:cs="宋体"/>
                <w:kern w:val="0"/>
                <w:sz w:val="18"/>
                <w:szCs w:val="18"/>
              </w:rPr>
            </w:pPr>
            <w:r>
              <w:rPr>
                <w:rFonts w:hint="eastAsia" w:ascii="宋体" w:hAnsi="宋体" w:eastAsia="宋体" w:cs="宋体"/>
                <w:kern w:val="0"/>
                <w:sz w:val="18"/>
                <w:szCs w:val="18"/>
              </w:rPr>
              <w:t>《国务院关于取消和调整一批行政审批项目等事项的决定》（国发〔2014〕27号）</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250" w:lineRule="exact"/>
              <w:rPr>
                <w:rFonts w:ascii="宋体" w:hAnsi="宋体" w:eastAsia="宋体" w:cs="宋体"/>
                <w:sz w:val="18"/>
                <w:szCs w:val="18"/>
              </w:rPr>
            </w:pPr>
            <w:r>
              <w:rPr>
                <w:rFonts w:hint="eastAsia"/>
                <w:sz w:val="18"/>
                <w:szCs w:val="18"/>
              </w:rPr>
              <w:t>宾馆、餐馆、酒店</w:t>
            </w:r>
          </w:p>
        </w:tc>
      </w:tr>
      <w:tr>
        <w:tblPrEx>
          <w:tblCellMar>
            <w:top w:w="0" w:type="dxa"/>
            <w:left w:w="108" w:type="dxa"/>
            <w:bottom w:w="0" w:type="dxa"/>
            <w:right w:w="108" w:type="dxa"/>
          </w:tblCellMar>
        </w:tblPrEx>
        <w:trPr>
          <w:cantSplit/>
          <w:trHeight w:val="1133" w:hRule="atLeast"/>
          <w:jc w:val="center"/>
        </w:trPr>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50" w:lineRule="exact"/>
              <w:jc w:val="center"/>
              <w:rPr>
                <w:rFonts w:ascii="宋体" w:hAnsi="宋体" w:eastAsia="宋体" w:cs="宋体"/>
                <w:kern w:val="0"/>
                <w:sz w:val="18"/>
                <w:szCs w:val="18"/>
              </w:rPr>
            </w:pPr>
            <w:r>
              <w:rPr>
                <w:rFonts w:hint="eastAsia" w:ascii="宋体" w:hAnsi="宋体" w:eastAsia="宋体" w:cs="宋体"/>
                <w:kern w:val="0"/>
                <w:sz w:val="18"/>
                <w:szCs w:val="18"/>
              </w:rPr>
              <w:t>170</w:t>
            </w:r>
          </w:p>
        </w:tc>
        <w:tc>
          <w:tcPr>
            <w:tcW w:w="1116" w:type="dxa"/>
            <w:tcBorders>
              <w:top w:val="single" w:color="auto" w:sz="4" w:space="0"/>
              <w:left w:val="nil"/>
              <w:bottom w:val="single" w:color="auto" w:sz="4" w:space="0"/>
              <w:right w:val="single" w:color="auto" w:sz="4" w:space="0"/>
            </w:tcBorders>
            <w:shd w:val="clear" w:color="000000" w:fill="FFFFFF"/>
            <w:vAlign w:val="center"/>
          </w:tcPr>
          <w:p>
            <w:pPr>
              <w:widowControl/>
              <w:spacing w:line="250" w:lineRule="exact"/>
              <w:jc w:val="left"/>
              <w:rPr>
                <w:rFonts w:ascii="宋体" w:hAnsi="宋体" w:eastAsia="宋体" w:cs="宋体"/>
                <w:kern w:val="0"/>
                <w:sz w:val="18"/>
                <w:szCs w:val="18"/>
              </w:rPr>
            </w:pPr>
            <w:r>
              <w:rPr>
                <w:rFonts w:hint="eastAsia" w:ascii="宋体" w:hAnsi="宋体" w:eastAsia="宋体" w:cs="宋体"/>
                <w:kern w:val="0"/>
                <w:sz w:val="18"/>
                <w:szCs w:val="18"/>
              </w:rPr>
              <w:t>进出口商品检验鉴定业务的检验许可</w:t>
            </w:r>
          </w:p>
        </w:tc>
        <w:tc>
          <w:tcPr>
            <w:tcW w:w="1673" w:type="dxa"/>
            <w:tcBorders>
              <w:top w:val="single" w:color="auto" w:sz="4" w:space="0"/>
              <w:left w:val="nil"/>
              <w:bottom w:val="single" w:color="auto" w:sz="4" w:space="0"/>
              <w:right w:val="single" w:color="auto" w:sz="4" w:space="0"/>
            </w:tcBorders>
            <w:shd w:val="clear" w:color="000000" w:fill="FFFFFF"/>
            <w:vAlign w:val="center"/>
          </w:tcPr>
          <w:p>
            <w:pPr>
              <w:widowControl/>
              <w:spacing w:line="250" w:lineRule="exact"/>
              <w:jc w:val="left"/>
              <w:rPr>
                <w:rFonts w:ascii="宋体" w:hAnsi="宋体" w:eastAsia="宋体" w:cs="宋体"/>
                <w:kern w:val="0"/>
                <w:sz w:val="18"/>
                <w:szCs w:val="18"/>
              </w:rPr>
            </w:pPr>
            <w:r>
              <w:rPr>
                <w:rFonts w:hint="eastAsia" w:ascii="宋体" w:hAnsi="宋体" w:eastAsia="宋体" w:cs="宋体"/>
                <w:kern w:val="0"/>
                <w:sz w:val="18"/>
                <w:szCs w:val="18"/>
              </w:rPr>
              <w:t>沈阳海关、</w:t>
            </w:r>
          </w:p>
          <w:p>
            <w:pPr>
              <w:widowControl/>
              <w:spacing w:line="250" w:lineRule="exact"/>
              <w:jc w:val="left"/>
              <w:rPr>
                <w:rFonts w:ascii="宋体" w:hAnsi="宋体" w:eastAsia="宋体" w:cs="宋体"/>
                <w:kern w:val="0"/>
                <w:sz w:val="18"/>
                <w:szCs w:val="18"/>
              </w:rPr>
            </w:pPr>
            <w:r>
              <w:rPr>
                <w:rFonts w:hint="eastAsia" w:ascii="宋体" w:hAnsi="宋体" w:eastAsia="宋体" w:cs="宋体"/>
                <w:kern w:val="0"/>
                <w:sz w:val="18"/>
                <w:szCs w:val="18"/>
              </w:rPr>
              <w:t>大连海关</w:t>
            </w:r>
          </w:p>
        </w:tc>
        <w:tc>
          <w:tcPr>
            <w:tcW w:w="5002" w:type="dxa"/>
            <w:tcBorders>
              <w:top w:val="single" w:color="auto" w:sz="4" w:space="0"/>
              <w:left w:val="nil"/>
              <w:bottom w:val="single" w:color="auto" w:sz="4" w:space="0"/>
              <w:right w:val="single" w:color="auto" w:sz="4" w:space="0"/>
            </w:tcBorders>
            <w:shd w:val="clear" w:color="000000" w:fill="FFFFFF"/>
            <w:vAlign w:val="center"/>
          </w:tcPr>
          <w:p>
            <w:pPr>
              <w:widowControl/>
              <w:spacing w:line="250" w:lineRule="exact"/>
              <w:jc w:val="left"/>
              <w:rPr>
                <w:rFonts w:ascii="宋体" w:hAnsi="宋体" w:eastAsia="宋体" w:cs="宋体"/>
                <w:kern w:val="0"/>
                <w:sz w:val="18"/>
                <w:szCs w:val="18"/>
              </w:rPr>
            </w:pPr>
            <w:r>
              <w:rPr>
                <w:rFonts w:hint="eastAsia" w:ascii="宋体" w:hAnsi="宋体" w:eastAsia="宋体" w:cs="宋体"/>
                <w:kern w:val="0"/>
                <w:sz w:val="18"/>
                <w:szCs w:val="18"/>
              </w:rPr>
              <w:t>《进出口商品检验法实施条例》（国务院令第447号）</w:t>
            </w:r>
            <w:r>
              <w:rPr>
                <w:rFonts w:hint="eastAsia" w:ascii="宋体" w:hAnsi="宋体" w:eastAsia="宋体" w:cs="宋体"/>
                <w:kern w:val="0"/>
                <w:sz w:val="18"/>
                <w:szCs w:val="18"/>
              </w:rPr>
              <w:br w:type="page"/>
            </w:r>
          </w:p>
          <w:p>
            <w:pPr>
              <w:widowControl/>
              <w:spacing w:line="250" w:lineRule="exact"/>
              <w:jc w:val="left"/>
              <w:rPr>
                <w:rFonts w:ascii="宋体" w:hAnsi="宋体" w:eastAsia="宋体" w:cs="宋体"/>
                <w:kern w:val="0"/>
                <w:sz w:val="18"/>
                <w:szCs w:val="18"/>
              </w:rPr>
            </w:pPr>
            <w:r>
              <w:rPr>
                <w:rFonts w:hint="eastAsia" w:ascii="宋体" w:hAnsi="宋体" w:eastAsia="宋体" w:cs="宋体"/>
                <w:kern w:val="0"/>
                <w:sz w:val="18"/>
                <w:szCs w:val="18"/>
              </w:rPr>
              <w:t>《国务院关于取消和调整一批行政审批项目等事项的决定》（国发〔2014〕27号）</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250" w:lineRule="exact"/>
              <w:rPr>
                <w:rFonts w:ascii="宋体" w:hAnsi="宋体" w:eastAsia="宋体" w:cs="宋体"/>
                <w:sz w:val="18"/>
                <w:szCs w:val="18"/>
              </w:rPr>
            </w:pPr>
            <w:r>
              <w:rPr>
                <w:rFonts w:hint="eastAsia"/>
                <w:sz w:val="18"/>
                <w:szCs w:val="18"/>
              </w:rPr>
              <w:t>进出口商品检验鉴定</w:t>
            </w:r>
          </w:p>
        </w:tc>
      </w:tr>
      <w:tr>
        <w:tblPrEx>
          <w:tblCellMar>
            <w:top w:w="0" w:type="dxa"/>
            <w:left w:w="108" w:type="dxa"/>
            <w:bottom w:w="0" w:type="dxa"/>
            <w:right w:w="108" w:type="dxa"/>
          </w:tblCellMar>
        </w:tblPrEx>
        <w:trPr>
          <w:cantSplit/>
          <w:trHeight w:val="700" w:hRule="atLeast"/>
          <w:jc w:val="center"/>
        </w:trPr>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50" w:lineRule="exact"/>
              <w:jc w:val="center"/>
              <w:rPr>
                <w:rFonts w:ascii="宋体" w:hAnsi="宋体" w:eastAsia="宋体" w:cs="宋体"/>
                <w:kern w:val="0"/>
                <w:sz w:val="18"/>
                <w:szCs w:val="18"/>
              </w:rPr>
            </w:pPr>
            <w:r>
              <w:rPr>
                <w:rFonts w:hint="eastAsia" w:ascii="宋体" w:hAnsi="宋体" w:eastAsia="宋体" w:cs="宋体"/>
                <w:kern w:val="0"/>
                <w:sz w:val="18"/>
                <w:szCs w:val="18"/>
              </w:rPr>
              <w:t>171</w:t>
            </w:r>
          </w:p>
        </w:tc>
        <w:tc>
          <w:tcPr>
            <w:tcW w:w="1116" w:type="dxa"/>
            <w:tcBorders>
              <w:top w:val="single" w:color="auto" w:sz="4" w:space="0"/>
              <w:left w:val="nil"/>
              <w:bottom w:val="single" w:color="auto" w:sz="4" w:space="0"/>
              <w:right w:val="single" w:color="auto" w:sz="4" w:space="0"/>
            </w:tcBorders>
            <w:shd w:val="clear" w:color="000000" w:fill="FFFFFF"/>
            <w:vAlign w:val="center"/>
          </w:tcPr>
          <w:p>
            <w:pPr>
              <w:widowControl/>
              <w:spacing w:line="250" w:lineRule="exact"/>
              <w:jc w:val="left"/>
              <w:rPr>
                <w:rFonts w:ascii="宋体" w:hAnsi="宋体" w:eastAsia="宋体" w:cs="宋体"/>
                <w:kern w:val="0"/>
                <w:sz w:val="18"/>
                <w:szCs w:val="18"/>
              </w:rPr>
            </w:pPr>
            <w:r>
              <w:rPr>
                <w:rFonts w:hint="eastAsia" w:ascii="宋体" w:hAnsi="宋体" w:eastAsia="宋体" w:cs="宋体"/>
                <w:kern w:val="0"/>
                <w:sz w:val="18"/>
                <w:szCs w:val="18"/>
              </w:rPr>
              <w:t>从事进出境检疫处理业务单位资格认定</w:t>
            </w:r>
          </w:p>
        </w:tc>
        <w:tc>
          <w:tcPr>
            <w:tcW w:w="1673" w:type="dxa"/>
            <w:tcBorders>
              <w:top w:val="single" w:color="auto" w:sz="4" w:space="0"/>
              <w:left w:val="nil"/>
              <w:bottom w:val="single" w:color="auto" w:sz="4" w:space="0"/>
              <w:right w:val="single" w:color="auto" w:sz="4" w:space="0"/>
            </w:tcBorders>
            <w:shd w:val="clear" w:color="000000" w:fill="FFFFFF"/>
            <w:vAlign w:val="center"/>
          </w:tcPr>
          <w:p>
            <w:pPr>
              <w:widowControl/>
              <w:spacing w:line="250" w:lineRule="exact"/>
              <w:jc w:val="left"/>
              <w:rPr>
                <w:rFonts w:ascii="宋体" w:hAnsi="宋体" w:eastAsia="宋体" w:cs="宋体"/>
                <w:kern w:val="0"/>
                <w:sz w:val="18"/>
                <w:szCs w:val="18"/>
              </w:rPr>
            </w:pPr>
            <w:r>
              <w:rPr>
                <w:rFonts w:hint="eastAsia" w:ascii="宋体" w:hAnsi="宋体" w:eastAsia="宋体" w:cs="宋体"/>
                <w:kern w:val="0"/>
                <w:sz w:val="18"/>
                <w:szCs w:val="18"/>
              </w:rPr>
              <w:t>沈阳海关、</w:t>
            </w:r>
          </w:p>
          <w:p>
            <w:pPr>
              <w:widowControl/>
              <w:spacing w:line="250" w:lineRule="exact"/>
              <w:jc w:val="left"/>
              <w:rPr>
                <w:rFonts w:ascii="宋体" w:hAnsi="宋体" w:eastAsia="宋体" w:cs="宋体"/>
                <w:kern w:val="0"/>
                <w:sz w:val="18"/>
                <w:szCs w:val="18"/>
              </w:rPr>
            </w:pPr>
            <w:r>
              <w:rPr>
                <w:rFonts w:hint="eastAsia" w:ascii="宋体" w:hAnsi="宋体" w:eastAsia="宋体" w:cs="宋体"/>
                <w:kern w:val="0"/>
                <w:sz w:val="18"/>
                <w:szCs w:val="18"/>
              </w:rPr>
              <w:t>大连海关</w:t>
            </w:r>
          </w:p>
        </w:tc>
        <w:tc>
          <w:tcPr>
            <w:tcW w:w="5002" w:type="dxa"/>
            <w:tcBorders>
              <w:top w:val="single" w:color="auto" w:sz="4" w:space="0"/>
              <w:left w:val="nil"/>
              <w:bottom w:val="single" w:color="auto" w:sz="4" w:space="0"/>
              <w:right w:val="single" w:color="auto" w:sz="4" w:space="0"/>
            </w:tcBorders>
            <w:shd w:val="clear" w:color="000000" w:fill="FFFFFF"/>
            <w:vAlign w:val="center"/>
          </w:tcPr>
          <w:p>
            <w:pPr>
              <w:widowControl/>
              <w:spacing w:line="250" w:lineRule="exact"/>
              <w:jc w:val="left"/>
              <w:rPr>
                <w:rFonts w:ascii="宋体" w:hAnsi="宋体" w:eastAsia="宋体" w:cs="宋体"/>
                <w:kern w:val="0"/>
                <w:sz w:val="18"/>
                <w:szCs w:val="18"/>
              </w:rPr>
            </w:pPr>
            <w:r>
              <w:rPr>
                <w:rFonts w:hint="eastAsia" w:ascii="宋体" w:hAnsi="宋体" w:eastAsia="宋体" w:cs="宋体"/>
                <w:kern w:val="0"/>
                <w:sz w:val="18"/>
                <w:szCs w:val="18"/>
              </w:rPr>
              <w:t>《进出境动植物检疫法实施条例》（国务院令第206号)</w:t>
            </w:r>
          </w:p>
          <w:p>
            <w:pPr>
              <w:widowControl/>
              <w:spacing w:line="250" w:lineRule="exact"/>
              <w:jc w:val="left"/>
              <w:rPr>
                <w:rFonts w:ascii="宋体" w:hAnsi="宋体" w:eastAsia="宋体" w:cs="宋体"/>
                <w:kern w:val="0"/>
                <w:sz w:val="18"/>
                <w:szCs w:val="18"/>
              </w:rPr>
            </w:pPr>
            <w:r>
              <w:rPr>
                <w:rFonts w:hint="eastAsia" w:ascii="宋体" w:hAnsi="宋体" w:eastAsia="宋体" w:cs="宋体"/>
                <w:kern w:val="0"/>
                <w:sz w:val="18"/>
                <w:szCs w:val="18"/>
              </w:rPr>
              <w:t>《质量监督检验检疫行政许可实施办法》（质检总局令第149号）</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250" w:lineRule="exact"/>
              <w:rPr>
                <w:rFonts w:ascii="宋体" w:hAnsi="宋体" w:eastAsia="宋体" w:cs="宋体"/>
                <w:sz w:val="18"/>
                <w:szCs w:val="18"/>
              </w:rPr>
            </w:pPr>
            <w:r>
              <w:rPr>
                <w:rFonts w:hint="eastAsia"/>
                <w:sz w:val="18"/>
                <w:szCs w:val="18"/>
              </w:rPr>
              <w:t>进出口检疫</w:t>
            </w:r>
          </w:p>
        </w:tc>
      </w:tr>
      <w:tr>
        <w:tblPrEx>
          <w:tblCellMar>
            <w:top w:w="0" w:type="dxa"/>
            <w:left w:w="108" w:type="dxa"/>
            <w:bottom w:w="0" w:type="dxa"/>
            <w:right w:w="108" w:type="dxa"/>
          </w:tblCellMar>
        </w:tblPrEx>
        <w:trPr>
          <w:cantSplit/>
          <w:trHeight w:val="1578" w:hRule="atLeast"/>
          <w:jc w:val="center"/>
        </w:trPr>
        <w:tc>
          <w:tcPr>
            <w:tcW w:w="756" w:type="dxa"/>
            <w:tcBorders>
              <w:top w:val="nil"/>
              <w:left w:val="single" w:color="auto" w:sz="4" w:space="0"/>
              <w:bottom w:val="single" w:color="auto" w:sz="4" w:space="0"/>
              <w:right w:val="single" w:color="auto" w:sz="4" w:space="0"/>
            </w:tcBorders>
            <w:shd w:val="clear" w:color="000000" w:fill="FFFFFF"/>
            <w:vAlign w:val="center"/>
          </w:tcPr>
          <w:p>
            <w:pPr>
              <w:widowControl/>
              <w:spacing w:line="250" w:lineRule="exact"/>
              <w:jc w:val="center"/>
              <w:rPr>
                <w:rFonts w:ascii="宋体" w:hAnsi="宋体" w:eastAsia="宋体" w:cs="宋体"/>
                <w:kern w:val="0"/>
                <w:sz w:val="18"/>
                <w:szCs w:val="18"/>
              </w:rPr>
            </w:pPr>
            <w:r>
              <w:rPr>
                <w:rFonts w:hint="eastAsia" w:ascii="宋体" w:hAnsi="宋体" w:eastAsia="宋体" w:cs="宋体"/>
                <w:kern w:val="0"/>
                <w:sz w:val="18"/>
                <w:szCs w:val="18"/>
              </w:rPr>
              <w:t>172</w:t>
            </w:r>
          </w:p>
        </w:tc>
        <w:tc>
          <w:tcPr>
            <w:tcW w:w="1116"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银行、农村信用社、兑换机构等结汇、售汇业务市场准入、退出审批</w:t>
            </w:r>
          </w:p>
        </w:tc>
        <w:tc>
          <w:tcPr>
            <w:tcW w:w="1673"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国家外汇局</w:t>
            </w:r>
          </w:p>
        </w:tc>
        <w:tc>
          <w:tcPr>
            <w:tcW w:w="5002"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《外汇管理条例》（国务院令第532号）</w:t>
            </w:r>
          </w:p>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《国家外汇处理局关于印发〈银行办理结售汇业务管理办法实施细则〉的通知》（汇发〔2014〕53号）</w:t>
            </w:r>
          </w:p>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《国务院关于取消和调整一批行政审批项目等事项的决定》（国发〔2014〕50号）</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sz w:val="18"/>
                <w:szCs w:val="18"/>
              </w:rPr>
            </w:pPr>
            <w:r>
              <w:rPr>
                <w:rFonts w:hint="eastAsia"/>
                <w:sz w:val="18"/>
                <w:szCs w:val="18"/>
              </w:rPr>
              <w:t>结汇、售汇</w:t>
            </w:r>
          </w:p>
        </w:tc>
      </w:tr>
      <w:tr>
        <w:tblPrEx>
          <w:tblCellMar>
            <w:top w:w="0" w:type="dxa"/>
            <w:left w:w="108" w:type="dxa"/>
            <w:bottom w:w="0" w:type="dxa"/>
            <w:right w:w="108" w:type="dxa"/>
          </w:tblCellMar>
        </w:tblPrEx>
        <w:trPr>
          <w:cantSplit/>
          <w:trHeight w:val="1405" w:hRule="atLeast"/>
          <w:jc w:val="center"/>
        </w:trPr>
        <w:tc>
          <w:tcPr>
            <w:tcW w:w="756" w:type="dxa"/>
            <w:tcBorders>
              <w:top w:val="nil"/>
              <w:left w:val="single" w:color="auto" w:sz="4" w:space="0"/>
              <w:bottom w:val="single" w:color="auto" w:sz="4" w:space="0"/>
              <w:right w:val="single" w:color="auto" w:sz="4" w:space="0"/>
            </w:tcBorders>
            <w:shd w:val="clear" w:color="000000" w:fill="FFFFFF"/>
            <w:vAlign w:val="center"/>
          </w:tcPr>
          <w:p>
            <w:pPr>
              <w:widowControl/>
              <w:spacing w:line="250" w:lineRule="exact"/>
              <w:jc w:val="center"/>
              <w:rPr>
                <w:rFonts w:ascii="宋体" w:hAnsi="宋体" w:eastAsia="宋体" w:cs="宋体"/>
                <w:kern w:val="0"/>
                <w:sz w:val="18"/>
                <w:szCs w:val="18"/>
              </w:rPr>
            </w:pPr>
            <w:r>
              <w:rPr>
                <w:rFonts w:hint="eastAsia" w:ascii="宋体" w:hAnsi="宋体" w:eastAsia="宋体" w:cs="宋体"/>
                <w:kern w:val="0"/>
                <w:sz w:val="18"/>
                <w:szCs w:val="18"/>
              </w:rPr>
              <w:t>173</w:t>
            </w:r>
          </w:p>
        </w:tc>
        <w:tc>
          <w:tcPr>
            <w:tcW w:w="1116"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保险、证券公司等非银行金融机构外汇业务市场准入、退出审批</w:t>
            </w:r>
          </w:p>
        </w:tc>
        <w:tc>
          <w:tcPr>
            <w:tcW w:w="1673"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国家外汇局</w:t>
            </w:r>
          </w:p>
        </w:tc>
        <w:tc>
          <w:tcPr>
            <w:tcW w:w="5002"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《外汇管理条例》（国务院令第532号）</w:t>
            </w:r>
          </w:p>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《国务院关于取消和调整一批行政审批项目等事项的决定》（国发〔2014〕50号）</w:t>
            </w:r>
          </w:p>
        </w:tc>
        <w:tc>
          <w:tcPr>
            <w:tcW w:w="1261" w:type="dxa"/>
            <w:tcBorders>
              <w:top w:val="nil"/>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sz w:val="18"/>
                <w:szCs w:val="18"/>
              </w:rPr>
            </w:pPr>
            <w:r>
              <w:rPr>
                <w:rFonts w:hint="eastAsia"/>
                <w:sz w:val="18"/>
                <w:szCs w:val="18"/>
              </w:rPr>
              <w:t>外汇</w:t>
            </w:r>
          </w:p>
        </w:tc>
      </w:tr>
      <w:tr>
        <w:tblPrEx>
          <w:tblCellMar>
            <w:top w:w="0" w:type="dxa"/>
            <w:left w:w="108" w:type="dxa"/>
            <w:bottom w:w="0" w:type="dxa"/>
            <w:right w:w="108" w:type="dxa"/>
          </w:tblCellMar>
        </w:tblPrEx>
        <w:trPr>
          <w:cantSplit/>
          <w:trHeight w:val="408" w:hRule="atLeast"/>
          <w:jc w:val="center"/>
        </w:trPr>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50" w:lineRule="exact"/>
              <w:jc w:val="center"/>
              <w:rPr>
                <w:rFonts w:ascii="宋体" w:hAnsi="宋体" w:eastAsia="宋体" w:cs="宋体"/>
                <w:kern w:val="0"/>
                <w:sz w:val="18"/>
                <w:szCs w:val="18"/>
              </w:rPr>
            </w:pPr>
            <w:r>
              <w:rPr>
                <w:rFonts w:hint="eastAsia" w:ascii="宋体" w:hAnsi="宋体" w:eastAsia="宋体" w:cs="宋体"/>
                <w:kern w:val="0"/>
                <w:sz w:val="18"/>
                <w:szCs w:val="18"/>
              </w:rPr>
              <w:t>174</w:t>
            </w:r>
          </w:p>
        </w:tc>
        <w:tc>
          <w:tcPr>
            <w:tcW w:w="1116"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非金融机构经营结汇、售汇业务审批</w:t>
            </w:r>
          </w:p>
        </w:tc>
        <w:tc>
          <w:tcPr>
            <w:tcW w:w="1673"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国家外汇局</w:t>
            </w:r>
          </w:p>
        </w:tc>
        <w:tc>
          <w:tcPr>
            <w:tcW w:w="5002"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《外汇管理条例》（国务院令第532号）</w:t>
            </w:r>
          </w:p>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《国务院关于取消和调整一批行政审批项目等事项的决定》（国发〔2014〕50号）</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sz w:val="18"/>
                <w:szCs w:val="18"/>
              </w:rPr>
            </w:pPr>
            <w:r>
              <w:rPr>
                <w:rFonts w:hint="eastAsia"/>
                <w:sz w:val="18"/>
                <w:szCs w:val="18"/>
              </w:rPr>
              <w:t>结汇、售汇</w:t>
            </w:r>
          </w:p>
        </w:tc>
      </w:tr>
      <w:tr>
        <w:tblPrEx>
          <w:tblCellMar>
            <w:top w:w="0" w:type="dxa"/>
            <w:left w:w="108" w:type="dxa"/>
            <w:bottom w:w="0" w:type="dxa"/>
            <w:right w:w="108" w:type="dxa"/>
          </w:tblCellMar>
        </w:tblPrEx>
        <w:trPr>
          <w:cantSplit/>
          <w:trHeight w:val="1408" w:hRule="atLeast"/>
          <w:jc w:val="center"/>
        </w:trPr>
        <w:tc>
          <w:tcPr>
            <w:tcW w:w="756" w:type="dxa"/>
            <w:tcBorders>
              <w:top w:val="nil"/>
              <w:left w:val="single" w:color="auto" w:sz="4" w:space="0"/>
              <w:bottom w:val="single" w:color="auto" w:sz="4" w:space="0"/>
              <w:right w:val="single" w:color="auto" w:sz="4" w:space="0"/>
            </w:tcBorders>
            <w:shd w:val="clear" w:color="000000" w:fill="FFFFFF"/>
            <w:vAlign w:val="center"/>
          </w:tcPr>
          <w:p>
            <w:pPr>
              <w:widowControl/>
              <w:spacing w:line="250" w:lineRule="exact"/>
              <w:jc w:val="center"/>
              <w:rPr>
                <w:rFonts w:ascii="宋体" w:hAnsi="宋体" w:eastAsia="宋体" w:cs="宋体"/>
                <w:kern w:val="0"/>
                <w:sz w:val="18"/>
                <w:szCs w:val="18"/>
              </w:rPr>
            </w:pPr>
            <w:r>
              <w:rPr>
                <w:rFonts w:hint="eastAsia" w:ascii="宋体" w:hAnsi="宋体" w:eastAsia="宋体" w:cs="宋体"/>
                <w:kern w:val="0"/>
                <w:sz w:val="18"/>
                <w:szCs w:val="18"/>
              </w:rPr>
              <w:t>175</w:t>
            </w:r>
          </w:p>
        </w:tc>
        <w:tc>
          <w:tcPr>
            <w:tcW w:w="1116"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投资咨询机构、财务顾问机构、资信评级机构从事证券服务业务审批</w:t>
            </w:r>
          </w:p>
        </w:tc>
        <w:tc>
          <w:tcPr>
            <w:tcW w:w="1673"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证监会</w:t>
            </w:r>
          </w:p>
        </w:tc>
        <w:tc>
          <w:tcPr>
            <w:tcW w:w="5002"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《证券法》</w:t>
            </w:r>
          </w:p>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《国务院关于取消和调整一批行政审批项目等事项的决定》（国发〔2014〕50号）</w:t>
            </w:r>
          </w:p>
        </w:tc>
        <w:tc>
          <w:tcPr>
            <w:tcW w:w="1261" w:type="dxa"/>
            <w:tcBorders>
              <w:top w:val="nil"/>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sz w:val="18"/>
                <w:szCs w:val="18"/>
              </w:rPr>
            </w:pPr>
            <w:r>
              <w:rPr>
                <w:rFonts w:hint="eastAsia"/>
                <w:sz w:val="18"/>
                <w:szCs w:val="18"/>
              </w:rPr>
              <w:t>证券服务</w:t>
            </w:r>
          </w:p>
        </w:tc>
      </w:tr>
      <w:tr>
        <w:tblPrEx>
          <w:tblCellMar>
            <w:top w:w="0" w:type="dxa"/>
            <w:left w:w="108" w:type="dxa"/>
            <w:bottom w:w="0" w:type="dxa"/>
            <w:right w:w="108" w:type="dxa"/>
          </w:tblCellMar>
        </w:tblPrEx>
        <w:trPr>
          <w:cantSplit/>
          <w:trHeight w:val="802" w:hRule="atLeast"/>
          <w:jc w:val="center"/>
        </w:trPr>
        <w:tc>
          <w:tcPr>
            <w:tcW w:w="756" w:type="dxa"/>
            <w:tcBorders>
              <w:top w:val="nil"/>
              <w:left w:val="single" w:color="auto" w:sz="4" w:space="0"/>
              <w:bottom w:val="single" w:color="auto" w:sz="4" w:space="0"/>
              <w:right w:val="single" w:color="auto" w:sz="4" w:space="0"/>
            </w:tcBorders>
            <w:shd w:val="clear" w:color="000000" w:fill="FFFFFF"/>
            <w:vAlign w:val="center"/>
          </w:tcPr>
          <w:p>
            <w:pPr>
              <w:widowControl/>
              <w:spacing w:line="250" w:lineRule="exact"/>
              <w:jc w:val="center"/>
              <w:rPr>
                <w:rFonts w:ascii="宋体" w:hAnsi="宋体" w:eastAsia="宋体" w:cs="宋体"/>
                <w:kern w:val="0"/>
                <w:sz w:val="18"/>
                <w:szCs w:val="18"/>
              </w:rPr>
            </w:pPr>
            <w:r>
              <w:rPr>
                <w:rFonts w:hint="eastAsia" w:ascii="宋体" w:hAnsi="宋体" w:eastAsia="宋体" w:cs="宋体"/>
                <w:kern w:val="0"/>
                <w:sz w:val="18"/>
                <w:szCs w:val="18"/>
              </w:rPr>
              <w:t>176</w:t>
            </w:r>
          </w:p>
        </w:tc>
        <w:tc>
          <w:tcPr>
            <w:tcW w:w="1116"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期货公司设立审批</w:t>
            </w:r>
          </w:p>
        </w:tc>
        <w:tc>
          <w:tcPr>
            <w:tcW w:w="1673"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证监会</w:t>
            </w:r>
          </w:p>
        </w:tc>
        <w:tc>
          <w:tcPr>
            <w:tcW w:w="5002"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《期货交易管理条例》（国务院令第627号）</w:t>
            </w:r>
          </w:p>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《国务院关于取消和调整一批行政审批项目等事项的决定》（国发〔2015〕11号）</w:t>
            </w:r>
          </w:p>
        </w:tc>
        <w:tc>
          <w:tcPr>
            <w:tcW w:w="1261" w:type="dxa"/>
            <w:tcBorders>
              <w:top w:val="nil"/>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sz w:val="18"/>
                <w:szCs w:val="18"/>
              </w:rPr>
            </w:pPr>
            <w:r>
              <w:rPr>
                <w:rFonts w:hint="eastAsia"/>
                <w:sz w:val="18"/>
                <w:szCs w:val="18"/>
              </w:rPr>
              <w:t>期货</w:t>
            </w:r>
          </w:p>
        </w:tc>
      </w:tr>
      <w:tr>
        <w:tblPrEx>
          <w:tblCellMar>
            <w:top w:w="0" w:type="dxa"/>
            <w:left w:w="108" w:type="dxa"/>
            <w:bottom w:w="0" w:type="dxa"/>
            <w:right w:w="108" w:type="dxa"/>
          </w:tblCellMar>
        </w:tblPrEx>
        <w:trPr>
          <w:cantSplit/>
          <w:trHeight w:val="1125" w:hRule="atLeast"/>
          <w:jc w:val="center"/>
        </w:trPr>
        <w:tc>
          <w:tcPr>
            <w:tcW w:w="756" w:type="dxa"/>
            <w:tcBorders>
              <w:top w:val="nil"/>
              <w:left w:val="single" w:color="auto" w:sz="4" w:space="0"/>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kern w:val="0"/>
                <w:sz w:val="18"/>
                <w:szCs w:val="18"/>
              </w:rPr>
            </w:pPr>
            <w:r>
              <w:rPr>
                <w:rFonts w:hint="eastAsia" w:ascii="宋体" w:hAnsi="宋体" w:eastAsia="宋体" w:cs="宋体"/>
                <w:kern w:val="0"/>
                <w:sz w:val="18"/>
                <w:szCs w:val="18"/>
              </w:rPr>
              <w:t>177</w:t>
            </w:r>
          </w:p>
        </w:tc>
        <w:tc>
          <w:tcPr>
            <w:tcW w:w="1116"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公募基金管理公司设立审批</w:t>
            </w:r>
          </w:p>
        </w:tc>
        <w:tc>
          <w:tcPr>
            <w:tcW w:w="1673"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证监会</w:t>
            </w:r>
          </w:p>
        </w:tc>
        <w:tc>
          <w:tcPr>
            <w:tcW w:w="5002"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《证券投资基金法》</w:t>
            </w:r>
          </w:p>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《公开募集证券投资基金运作管理办法》（证监会令第104号）</w:t>
            </w:r>
          </w:p>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《国务院关于取消和调整一批行政审批项目等事项的决定》（国发〔2015〕11号）</w:t>
            </w:r>
          </w:p>
        </w:tc>
        <w:tc>
          <w:tcPr>
            <w:tcW w:w="1261" w:type="dxa"/>
            <w:tcBorders>
              <w:top w:val="nil"/>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sz w:val="18"/>
                <w:szCs w:val="18"/>
              </w:rPr>
            </w:pPr>
            <w:r>
              <w:rPr>
                <w:rFonts w:hint="eastAsia"/>
                <w:sz w:val="18"/>
                <w:szCs w:val="18"/>
              </w:rPr>
              <w:t>公募基金管理</w:t>
            </w:r>
          </w:p>
        </w:tc>
      </w:tr>
      <w:tr>
        <w:tblPrEx>
          <w:tblCellMar>
            <w:top w:w="0" w:type="dxa"/>
            <w:left w:w="108" w:type="dxa"/>
            <w:bottom w:w="0" w:type="dxa"/>
            <w:right w:w="108" w:type="dxa"/>
          </w:tblCellMar>
        </w:tblPrEx>
        <w:trPr>
          <w:cantSplit/>
          <w:trHeight w:val="566" w:hRule="atLeast"/>
          <w:jc w:val="center"/>
        </w:trPr>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50" w:lineRule="exact"/>
              <w:jc w:val="center"/>
              <w:rPr>
                <w:rFonts w:ascii="宋体" w:hAnsi="宋体" w:eastAsia="宋体" w:cs="宋体"/>
                <w:b/>
                <w:bCs/>
                <w:kern w:val="0"/>
                <w:sz w:val="18"/>
                <w:szCs w:val="18"/>
              </w:rPr>
            </w:pPr>
            <w:r>
              <w:rPr>
                <w:rFonts w:hint="eastAsia" w:ascii="宋体" w:hAnsi="宋体" w:eastAsia="宋体" w:cs="宋体"/>
                <w:b/>
                <w:bCs/>
                <w:kern w:val="0"/>
                <w:sz w:val="18"/>
                <w:szCs w:val="18"/>
              </w:rPr>
              <w:t>序号</w:t>
            </w:r>
          </w:p>
        </w:tc>
        <w:tc>
          <w:tcPr>
            <w:tcW w:w="1116" w:type="dxa"/>
            <w:tcBorders>
              <w:top w:val="single" w:color="auto" w:sz="4" w:space="0"/>
              <w:left w:val="nil"/>
              <w:bottom w:val="single" w:color="auto" w:sz="4" w:space="0"/>
              <w:right w:val="single" w:color="auto" w:sz="4" w:space="0"/>
            </w:tcBorders>
            <w:shd w:val="clear" w:color="000000" w:fill="FFFFFF"/>
            <w:vAlign w:val="center"/>
          </w:tcPr>
          <w:p>
            <w:pPr>
              <w:widowControl/>
              <w:spacing w:line="250" w:lineRule="exact"/>
              <w:jc w:val="center"/>
              <w:rPr>
                <w:rFonts w:ascii="宋体" w:hAnsi="宋体" w:eastAsia="宋体" w:cs="宋体"/>
                <w:b/>
                <w:bCs/>
                <w:kern w:val="0"/>
                <w:sz w:val="18"/>
                <w:szCs w:val="18"/>
              </w:rPr>
            </w:pPr>
            <w:r>
              <w:rPr>
                <w:rFonts w:hint="eastAsia" w:ascii="宋体" w:hAnsi="宋体" w:eastAsia="宋体" w:cs="宋体"/>
                <w:b/>
                <w:bCs/>
                <w:kern w:val="0"/>
                <w:sz w:val="18"/>
                <w:szCs w:val="18"/>
              </w:rPr>
              <w:t>项目名称</w:t>
            </w:r>
          </w:p>
        </w:tc>
        <w:tc>
          <w:tcPr>
            <w:tcW w:w="1673" w:type="dxa"/>
            <w:tcBorders>
              <w:top w:val="single" w:color="auto" w:sz="4" w:space="0"/>
              <w:left w:val="nil"/>
              <w:bottom w:val="single" w:color="auto" w:sz="4" w:space="0"/>
              <w:right w:val="single" w:color="auto" w:sz="4" w:space="0"/>
            </w:tcBorders>
            <w:shd w:val="clear" w:color="000000" w:fill="FFFFFF"/>
            <w:vAlign w:val="center"/>
          </w:tcPr>
          <w:p>
            <w:pPr>
              <w:widowControl/>
              <w:spacing w:line="250" w:lineRule="exact"/>
              <w:jc w:val="center"/>
              <w:rPr>
                <w:rFonts w:ascii="宋体" w:hAnsi="宋体" w:eastAsia="宋体" w:cs="宋体"/>
                <w:b/>
                <w:bCs/>
                <w:kern w:val="0"/>
                <w:sz w:val="18"/>
                <w:szCs w:val="18"/>
              </w:rPr>
            </w:pPr>
            <w:r>
              <w:rPr>
                <w:rFonts w:hint="eastAsia" w:ascii="宋体" w:hAnsi="宋体" w:eastAsia="宋体" w:cs="宋体"/>
                <w:b/>
                <w:bCs/>
                <w:kern w:val="0"/>
                <w:sz w:val="18"/>
                <w:szCs w:val="18"/>
              </w:rPr>
              <w:t>实施机关</w:t>
            </w:r>
          </w:p>
        </w:tc>
        <w:tc>
          <w:tcPr>
            <w:tcW w:w="5002" w:type="dxa"/>
            <w:tcBorders>
              <w:top w:val="single" w:color="auto" w:sz="4" w:space="0"/>
              <w:left w:val="nil"/>
              <w:bottom w:val="single" w:color="auto" w:sz="4" w:space="0"/>
              <w:right w:val="single" w:color="auto" w:sz="4" w:space="0"/>
            </w:tcBorders>
            <w:shd w:val="clear" w:color="000000" w:fill="FFFFFF"/>
            <w:vAlign w:val="center"/>
          </w:tcPr>
          <w:p>
            <w:pPr>
              <w:widowControl/>
              <w:spacing w:line="250" w:lineRule="exact"/>
              <w:jc w:val="center"/>
              <w:rPr>
                <w:rFonts w:ascii="宋体" w:hAnsi="宋体" w:eastAsia="宋体" w:cs="宋体"/>
                <w:b/>
                <w:bCs/>
                <w:kern w:val="0"/>
                <w:sz w:val="18"/>
                <w:szCs w:val="18"/>
              </w:rPr>
            </w:pPr>
            <w:r>
              <w:rPr>
                <w:rFonts w:hint="eastAsia" w:ascii="宋体" w:hAnsi="宋体" w:eastAsia="宋体" w:cs="宋体"/>
                <w:b/>
                <w:bCs/>
                <w:kern w:val="0"/>
                <w:sz w:val="18"/>
                <w:szCs w:val="18"/>
              </w:rPr>
              <w:t xml:space="preserve">设定依据                                                                                         </w:t>
            </w:r>
          </w:p>
        </w:tc>
        <w:tc>
          <w:tcPr>
            <w:tcW w:w="1261" w:type="dxa"/>
            <w:tcBorders>
              <w:top w:val="single" w:color="auto" w:sz="4" w:space="0"/>
              <w:left w:val="nil"/>
              <w:bottom w:val="single" w:color="auto" w:sz="4" w:space="0"/>
              <w:right w:val="single" w:color="auto" w:sz="4" w:space="0"/>
            </w:tcBorders>
            <w:shd w:val="clear" w:color="000000" w:fill="FFFFFF"/>
            <w:vAlign w:val="center"/>
          </w:tcPr>
          <w:p>
            <w:pPr>
              <w:spacing w:line="250" w:lineRule="exact"/>
              <w:rPr>
                <w:rFonts w:ascii="宋体" w:hAnsi="宋体" w:eastAsia="宋体" w:cs="宋体"/>
                <w:sz w:val="18"/>
                <w:szCs w:val="18"/>
              </w:rPr>
            </w:pPr>
            <w:r>
              <w:rPr>
                <w:rFonts w:hint="eastAsia" w:ascii="宋体" w:hAnsi="宋体" w:eastAsia="宋体" w:cs="宋体"/>
                <w:b/>
                <w:bCs/>
                <w:kern w:val="0"/>
                <w:sz w:val="18"/>
                <w:szCs w:val="18"/>
              </w:rPr>
              <w:t>检索关键词</w:t>
            </w:r>
          </w:p>
        </w:tc>
      </w:tr>
      <w:tr>
        <w:tblPrEx>
          <w:tblCellMar>
            <w:top w:w="0" w:type="dxa"/>
            <w:left w:w="108" w:type="dxa"/>
            <w:bottom w:w="0" w:type="dxa"/>
            <w:right w:w="108" w:type="dxa"/>
          </w:tblCellMar>
        </w:tblPrEx>
        <w:trPr>
          <w:cantSplit/>
          <w:trHeight w:val="986" w:hRule="atLeast"/>
          <w:jc w:val="center"/>
        </w:trPr>
        <w:tc>
          <w:tcPr>
            <w:tcW w:w="756" w:type="dxa"/>
            <w:tcBorders>
              <w:top w:val="nil"/>
              <w:left w:val="single" w:color="auto" w:sz="4" w:space="0"/>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kern w:val="0"/>
                <w:sz w:val="18"/>
                <w:szCs w:val="18"/>
              </w:rPr>
            </w:pPr>
            <w:r>
              <w:rPr>
                <w:rFonts w:hint="eastAsia" w:ascii="宋体" w:hAnsi="宋体" w:eastAsia="宋体" w:cs="宋体"/>
                <w:kern w:val="0"/>
                <w:sz w:val="18"/>
                <w:szCs w:val="18"/>
              </w:rPr>
              <w:t>178</w:t>
            </w:r>
          </w:p>
        </w:tc>
        <w:tc>
          <w:tcPr>
            <w:tcW w:w="1116"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证券金融公司设立审批</w:t>
            </w:r>
          </w:p>
        </w:tc>
        <w:tc>
          <w:tcPr>
            <w:tcW w:w="1673"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证监会</w:t>
            </w:r>
          </w:p>
        </w:tc>
        <w:tc>
          <w:tcPr>
            <w:tcW w:w="5002" w:type="dxa"/>
            <w:tcBorders>
              <w:top w:val="nil"/>
              <w:left w:val="nil"/>
              <w:bottom w:val="single" w:color="auto" w:sz="4" w:space="0"/>
              <w:right w:val="single" w:color="auto" w:sz="4" w:space="0"/>
            </w:tcBorders>
            <w:shd w:val="clear" w:color="000000" w:fill="FFFFFF"/>
            <w:vAlign w:val="center"/>
          </w:tcPr>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《证券公司监督管理条例》(国务院令第522号)</w:t>
            </w:r>
          </w:p>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《转融通业务监督管理试行办法》（证监会令第75号）</w:t>
            </w:r>
          </w:p>
          <w:p>
            <w:pPr>
              <w:widowControl/>
              <w:spacing w:line="220" w:lineRule="exact"/>
              <w:jc w:val="left"/>
              <w:rPr>
                <w:rFonts w:ascii="宋体" w:hAnsi="宋体" w:eastAsia="宋体" w:cs="宋体"/>
                <w:kern w:val="0"/>
                <w:sz w:val="18"/>
                <w:szCs w:val="18"/>
              </w:rPr>
            </w:pPr>
            <w:r>
              <w:rPr>
                <w:rFonts w:hint="eastAsia" w:ascii="宋体" w:hAnsi="宋体" w:eastAsia="宋体" w:cs="宋体"/>
                <w:kern w:val="0"/>
                <w:sz w:val="18"/>
                <w:szCs w:val="18"/>
              </w:rPr>
              <w:t>《国务院关于取消和调整一批行政审批项目等事项的决定》（国发〔2015〕11号）</w:t>
            </w:r>
          </w:p>
        </w:tc>
        <w:tc>
          <w:tcPr>
            <w:tcW w:w="1261" w:type="dxa"/>
            <w:tcBorders>
              <w:top w:val="nil"/>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sz w:val="18"/>
                <w:szCs w:val="18"/>
              </w:rPr>
            </w:pPr>
            <w:r>
              <w:rPr>
                <w:rFonts w:hint="eastAsia"/>
                <w:sz w:val="18"/>
                <w:szCs w:val="18"/>
              </w:rPr>
              <w:t>证券、金融</w:t>
            </w:r>
          </w:p>
        </w:tc>
      </w:tr>
      <w:tr>
        <w:tblPrEx>
          <w:tblCellMar>
            <w:top w:w="0" w:type="dxa"/>
            <w:left w:w="108" w:type="dxa"/>
            <w:bottom w:w="0" w:type="dxa"/>
            <w:right w:w="108" w:type="dxa"/>
          </w:tblCellMar>
        </w:tblPrEx>
        <w:trPr>
          <w:cantSplit/>
          <w:trHeight w:val="1509" w:hRule="atLeast"/>
          <w:jc w:val="center"/>
        </w:trPr>
        <w:tc>
          <w:tcPr>
            <w:tcW w:w="756" w:type="dxa"/>
            <w:tcBorders>
              <w:top w:val="nil"/>
              <w:left w:val="single" w:color="auto" w:sz="4" w:space="0"/>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kern w:val="0"/>
                <w:sz w:val="18"/>
                <w:szCs w:val="18"/>
              </w:rPr>
            </w:pPr>
            <w:r>
              <w:rPr>
                <w:rFonts w:hint="eastAsia" w:ascii="宋体" w:hAnsi="宋体" w:eastAsia="宋体" w:cs="宋体"/>
                <w:kern w:val="0"/>
                <w:sz w:val="18"/>
                <w:szCs w:val="18"/>
              </w:rPr>
              <w:t>179</w:t>
            </w:r>
          </w:p>
        </w:tc>
        <w:tc>
          <w:tcPr>
            <w:tcW w:w="1116"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保险资产管理公司及其分支机构设立审批</w:t>
            </w:r>
          </w:p>
        </w:tc>
        <w:tc>
          <w:tcPr>
            <w:tcW w:w="1673"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银保监会</w:t>
            </w:r>
          </w:p>
        </w:tc>
        <w:tc>
          <w:tcPr>
            <w:tcW w:w="5002"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《国务院对确需保留的行政审批项目设定行政许可的决定》（国务院令第412号）</w:t>
            </w:r>
          </w:p>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《国务院关于取消和调整一批行政审批项目等事项的决定》（国发〔2015〕11号）</w:t>
            </w:r>
          </w:p>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《中国保监会关于取消和调整一批行政审批项目等事项的通知》（保监发〔2015〕35号）</w:t>
            </w:r>
          </w:p>
        </w:tc>
        <w:tc>
          <w:tcPr>
            <w:tcW w:w="1261" w:type="dxa"/>
            <w:tcBorders>
              <w:top w:val="nil"/>
              <w:left w:val="nil"/>
              <w:bottom w:val="single" w:color="auto" w:sz="4" w:space="0"/>
              <w:right w:val="single" w:color="auto" w:sz="4" w:space="0"/>
            </w:tcBorders>
            <w:shd w:val="clear" w:color="000000" w:fill="FFFFFF"/>
            <w:vAlign w:val="center"/>
          </w:tcPr>
          <w:p>
            <w:pPr>
              <w:spacing w:line="240" w:lineRule="exact"/>
              <w:rPr>
                <w:rFonts w:ascii="宋体" w:hAnsi="宋体" w:eastAsia="宋体" w:cs="宋体"/>
                <w:sz w:val="18"/>
                <w:szCs w:val="18"/>
              </w:rPr>
            </w:pPr>
            <w:r>
              <w:rPr>
                <w:rFonts w:hint="eastAsia"/>
                <w:sz w:val="18"/>
                <w:szCs w:val="18"/>
              </w:rPr>
              <w:t>保险资产管理</w:t>
            </w:r>
          </w:p>
        </w:tc>
      </w:tr>
      <w:tr>
        <w:tblPrEx>
          <w:tblCellMar>
            <w:top w:w="0" w:type="dxa"/>
            <w:left w:w="108" w:type="dxa"/>
            <w:bottom w:w="0" w:type="dxa"/>
            <w:right w:w="108" w:type="dxa"/>
          </w:tblCellMar>
        </w:tblPrEx>
        <w:trPr>
          <w:cantSplit/>
          <w:trHeight w:val="1628" w:hRule="atLeast"/>
          <w:jc w:val="center"/>
        </w:trPr>
        <w:tc>
          <w:tcPr>
            <w:tcW w:w="756" w:type="dxa"/>
            <w:tcBorders>
              <w:top w:val="nil"/>
              <w:left w:val="single" w:color="auto" w:sz="4" w:space="0"/>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kern w:val="0"/>
                <w:sz w:val="18"/>
                <w:szCs w:val="18"/>
              </w:rPr>
            </w:pPr>
            <w:r>
              <w:rPr>
                <w:rFonts w:hint="eastAsia" w:ascii="宋体" w:hAnsi="宋体" w:eastAsia="宋体" w:cs="宋体"/>
                <w:kern w:val="0"/>
                <w:sz w:val="18"/>
                <w:szCs w:val="18"/>
              </w:rPr>
              <w:t>180</w:t>
            </w:r>
          </w:p>
        </w:tc>
        <w:tc>
          <w:tcPr>
            <w:tcW w:w="1116"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保险集团公司及保险控股公司设立审批</w:t>
            </w:r>
          </w:p>
        </w:tc>
        <w:tc>
          <w:tcPr>
            <w:tcW w:w="1673"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银保监会</w:t>
            </w:r>
          </w:p>
        </w:tc>
        <w:tc>
          <w:tcPr>
            <w:tcW w:w="5002"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《国务院对确需保留的行政审批项目设定行政许可的决定》（国务院令第412号）</w:t>
            </w:r>
          </w:p>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《国务院关于取消和调整一批行政审批项目等事项的决定》（国发〔2015〕11号）</w:t>
            </w:r>
          </w:p>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《中国保监会关于取消和调整一批行政审批项目等事项的通知》（保监发〔2015〕35号）</w:t>
            </w:r>
          </w:p>
        </w:tc>
        <w:tc>
          <w:tcPr>
            <w:tcW w:w="1261" w:type="dxa"/>
            <w:tcBorders>
              <w:top w:val="nil"/>
              <w:left w:val="nil"/>
              <w:bottom w:val="single" w:color="auto" w:sz="4" w:space="0"/>
              <w:right w:val="single" w:color="auto" w:sz="4" w:space="0"/>
            </w:tcBorders>
            <w:shd w:val="clear" w:color="000000" w:fill="FFFFFF"/>
            <w:vAlign w:val="center"/>
          </w:tcPr>
          <w:p>
            <w:pPr>
              <w:spacing w:line="240" w:lineRule="exact"/>
              <w:rPr>
                <w:rFonts w:ascii="宋体" w:hAnsi="宋体" w:eastAsia="宋体" w:cs="宋体"/>
                <w:sz w:val="18"/>
                <w:szCs w:val="18"/>
              </w:rPr>
            </w:pPr>
            <w:r>
              <w:rPr>
                <w:rFonts w:hint="eastAsia"/>
                <w:sz w:val="18"/>
                <w:szCs w:val="18"/>
              </w:rPr>
              <w:t>保险</w:t>
            </w:r>
          </w:p>
        </w:tc>
      </w:tr>
      <w:tr>
        <w:tblPrEx>
          <w:tblCellMar>
            <w:top w:w="0" w:type="dxa"/>
            <w:left w:w="108" w:type="dxa"/>
            <w:bottom w:w="0" w:type="dxa"/>
            <w:right w:w="108" w:type="dxa"/>
          </w:tblCellMar>
        </w:tblPrEx>
        <w:trPr>
          <w:cantSplit/>
          <w:trHeight w:val="1593" w:hRule="atLeast"/>
          <w:jc w:val="center"/>
        </w:trPr>
        <w:tc>
          <w:tcPr>
            <w:tcW w:w="756" w:type="dxa"/>
            <w:tcBorders>
              <w:top w:val="nil"/>
              <w:left w:val="single" w:color="auto" w:sz="4" w:space="0"/>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kern w:val="0"/>
                <w:sz w:val="18"/>
                <w:szCs w:val="18"/>
              </w:rPr>
            </w:pPr>
            <w:r>
              <w:rPr>
                <w:rFonts w:hint="eastAsia" w:ascii="宋体" w:hAnsi="宋体" w:eastAsia="宋体" w:cs="宋体"/>
                <w:kern w:val="0"/>
                <w:sz w:val="18"/>
                <w:szCs w:val="18"/>
              </w:rPr>
              <w:t>181</w:t>
            </w:r>
          </w:p>
        </w:tc>
        <w:tc>
          <w:tcPr>
            <w:tcW w:w="1116"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保险代理(专业、银行类和保险公司相互兼业代理）机构设立审批</w:t>
            </w:r>
          </w:p>
        </w:tc>
        <w:tc>
          <w:tcPr>
            <w:tcW w:w="1673"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xml:space="preserve">银保监会 </w:t>
            </w:r>
          </w:p>
        </w:tc>
        <w:tc>
          <w:tcPr>
            <w:tcW w:w="5002"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《保险法》</w:t>
            </w:r>
          </w:p>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《保险专业代理机构监管规定》（保监会令〔2015〕第3号）</w:t>
            </w:r>
          </w:p>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《中国保监会关于取消和调整一批行政审批事项的通知》（保监发〔2015〕78号）</w:t>
            </w:r>
          </w:p>
        </w:tc>
        <w:tc>
          <w:tcPr>
            <w:tcW w:w="1261" w:type="dxa"/>
            <w:tcBorders>
              <w:top w:val="nil"/>
              <w:left w:val="nil"/>
              <w:bottom w:val="single" w:color="auto" w:sz="4" w:space="0"/>
              <w:right w:val="single" w:color="auto" w:sz="4" w:space="0"/>
            </w:tcBorders>
            <w:shd w:val="clear" w:color="000000" w:fill="FFFFFF"/>
            <w:vAlign w:val="center"/>
          </w:tcPr>
          <w:p>
            <w:pPr>
              <w:spacing w:line="240" w:lineRule="exact"/>
              <w:rPr>
                <w:rFonts w:ascii="宋体" w:hAnsi="宋体" w:eastAsia="宋体" w:cs="宋体"/>
                <w:sz w:val="18"/>
                <w:szCs w:val="18"/>
              </w:rPr>
            </w:pPr>
            <w:r>
              <w:rPr>
                <w:rFonts w:hint="eastAsia"/>
                <w:sz w:val="18"/>
                <w:szCs w:val="18"/>
              </w:rPr>
              <w:t>保险</w:t>
            </w:r>
          </w:p>
        </w:tc>
      </w:tr>
      <w:tr>
        <w:tblPrEx>
          <w:tblCellMar>
            <w:top w:w="0" w:type="dxa"/>
            <w:left w:w="108" w:type="dxa"/>
            <w:bottom w:w="0" w:type="dxa"/>
            <w:right w:w="108" w:type="dxa"/>
          </w:tblCellMar>
        </w:tblPrEx>
        <w:trPr>
          <w:cantSplit/>
          <w:trHeight w:val="1131" w:hRule="atLeast"/>
          <w:jc w:val="center"/>
        </w:trPr>
        <w:tc>
          <w:tcPr>
            <w:tcW w:w="756" w:type="dxa"/>
            <w:tcBorders>
              <w:top w:val="nil"/>
              <w:left w:val="single" w:color="auto" w:sz="4" w:space="0"/>
              <w:bottom w:val="nil"/>
              <w:right w:val="single" w:color="auto" w:sz="4" w:space="0"/>
            </w:tcBorders>
            <w:shd w:val="clear" w:color="000000" w:fill="FFFFFF"/>
            <w:vAlign w:val="center"/>
          </w:tcPr>
          <w:p>
            <w:pPr>
              <w:widowControl/>
              <w:spacing w:line="220" w:lineRule="exact"/>
              <w:jc w:val="center"/>
              <w:rPr>
                <w:rFonts w:ascii="宋体" w:hAnsi="宋体" w:eastAsia="宋体" w:cs="宋体"/>
                <w:kern w:val="0"/>
                <w:sz w:val="18"/>
                <w:szCs w:val="18"/>
              </w:rPr>
            </w:pPr>
            <w:r>
              <w:rPr>
                <w:rFonts w:hint="eastAsia" w:ascii="宋体" w:hAnsi="宋体" w:eastAsia="宋体" w:cs="宋体"/>
                <w:kern w:val="0"/>
                <w:sz w:val="18"/>
                <w:szCs w:val="18"/>
              </w:rPr>
              <w:t>182</w:t>
            </w:r>
          </w:p>
        </w:tc>
        <w:tc>
          <w:tcPr>
            <w:tcW w:w="1116" w:type="dxa"/>
            <w:tcBorders>
              <w:top w:val="nil"/>
              <w:left w:val="nil"/>
              <w:bottom w:val="nil"/>
              <w:right w:val="single" w:color="auto" w:sz="4" w:space="0"/>
            </w:tcBorders>
            <w:shd w:val="clear" w:color="000000" w:fill="FFFFFF"/>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保险经纪机构设立审批</w:t>
            </w:r>
          </w:p>
        </w:tc>
        <w:tc>
          <w:tcPr>
            <w:tcW w:w="1673" w:type="dxa"/>
            <w:tcBorders>
              <w:top w:val="nil"/>
              <w:left w:val="nil"/>
              <w:bottom w:val="nil"/>
              <w:right w:val="single" w:color="auto" w:sz="4" w:space="0"/>
            </w:tcBorders>
            <w:shd w:val="clear" w:color="000000" w:fill="FFFFFF"/>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 xml:space="preserve">银保监会 </w:t>
            </w:r>
          </w:p>
        </w:tc>
        <w:tc>
          <w:tcPr>
            <w:tcW w:w="5002" w:type="dxa"/>
            <w:tcBorders>
              <w:top w:val="nil"/>
              <w:left w:val="nil"/>
              <w:bottom w:val="nil"/>
              <w:right w:val="single" w:color="auto" w:sz="4" w:space="0"/>
            </w:tcBorders>
            <w:shd w:val="clear" w:color="000000" w:fill="FFFFFF"/>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《保险法》</w:t>
            </w:r>
          </w:p>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《保险经纪人监管规定》（保监会令〔2018〕第3号）</w:t>
            </w:r>
          </w:p>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《中国保监会关于取消和调整一批行政审批事项的通知》（保监发〔2015〕78号）</w:t>
            </w:r>
          </w:p>
        </w:tc>
        <w:tc>
          <w:tcPr>
            <w:tcW w:w="1261" w:type="dxa"/>
            <w:tcBorders>
              <w:top w:val="nil"/>
              <w:left w:val="nil"/>
              <w:bottom w:val="nil"/>
              <w:right w:val="single" w:color="auto" w:sz="4" w:space="0"/>
            </w:tcBorders>
            <w:shd w:val="clear" w:color="000000" w:fill="FFFFFF"/>
            <w:vAlign w:val="center"/>
          </w:tcPr>
          <w:p>
            <w:pPr>
              <w:spacing w:line="240" w:lineRule="exact"/>
              <w:rPr>
                <w:rFonts w:ascii="宋体" w:hAnsi="宋体" w:eastAsia="宋体" w:cs="宋体"/>
                <w:sz w:val="18"/>
                <w:szCs w:val="18"/>
              </w:rPr>
            </w:pPr>
            <w:r>
              <w:rPr>
                <w:rFonts w:hint="eastAsia"/>
                <w:sz w:val="18"/>
                <w:szCs w:val="18"/>
              </w:rPr>
              <w:t>保险</w:t>
            </w:r>
          </w:p>
        </w:tc>
      </w:tr>
      <w:tr>
        <w:tblPrEx>
          <w:tblCellMar>
            <w:top w:w="0" w:type="dxa"/>
            <w:left w:w="108" w:type="dxa"/>
            <w:bottom w:w="0" w:type="dxa"/>
            <w:right w:w="108" w:type="dxa"/>
          </w:tblCellMar>
        </w:tblPrEx>
        <w:trPr>
          <w:cantSplit/>
          <w:trHeight w:val="70" w:hRule="atLeast"/>
          <w:jc w:val="center"/>
        </w:trPr>
        <w:tc>
          <w:tcPr>
            <w:tcW w:w="756" w:type="dxa"/>
            <w:tcBorders>
              <w:top w:val="nil"/>
              <w:left w:val="single" w:color="auto" w:sz="4" w:space="0"/>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kern w:val="0"/>
                <w:sz w:val="18"/>
                <w:szCs w:val="18"/>
              </w:rPr>
            </w:pPr>
          </w:p>
        </w:tc>
        <w:tc>
          <w:tcPr>
            <w:tcW w:w="1116"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宋体"/>
                <w:kern w:val="0"/>
                <w:sz w:val="18"/>
                <w:szCs w:val="18"/>
              </w:rPr>
            </w:pPr>
          </w:p>
        </w:tc>
        <w:tc>
          <w:tcPr>
            <w:tcW w:w="1673"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宋体"/>
                <w:kern w:val="0"/>
                <w:sz w:val="18"/>
                <w:szCs w:val="18"/>
              </w:rPr>
            </w:pPr>
          </w:p>
        </w:tc>
        <w:tc>
          <w:tcPr>
            <w:tcW w:w="5002"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宋体"/>
                <w:kern w:val="0"/>
                <w:sz w:val="18"/>
                <w:szCs w:val="18"/>
              </w:rPr>
            </w:pPr>
          </w:p>
        </w:tc>
        <w:tc>
          <w:tcPr>
            <w:tcW w:w="1261" w:type="dxa"/>
            <w:tcBorders>
              <w:top w:val="nil"/>
              <w:left w:val="nil"/>
              <w:bottom w:val="single" w:color="auto" w:sz="4" w:space="0"/>
              <w:right w:val="single" w:color="auto" w:sz="4" w:space="0"/>
            </w:tcBorders>
            <w:shd w:val="clear" w:color="000000" w:fill="FFFFFF"/>
            <w:vAlign w:val="center"/>
          </w:tcPr>
          <w:p>
            <w:pPr>
              <w:spacing w:line="240" w:lineRule="exact"/>
              <w:rPr>
                <w:sz w:val="18"/>
                <w:szCs w:val="18"/>
              </w:rPr>
            </w:pPr>
          </w:p>
        </w:tc>
      </w:tr>
    </w:tbl>
    <w:p>
      <w:pPr>
        <w:spacing w:line="560" w:lineRule="exact"/>
        <w:rPr>
          <w:rFonts w:ascii="仿宋_GB2312" w:eastAsia="仿宋_GB2312"/>
          <w:sz w:val="32"/>
          <w:szCs w:val="32"/>
        </w:rPr>
      </w:pPr>
      <w:r>
        <w:rPr>
          <w:rFonts w:hint="eastAsia" w:ascii="宋体" w:hAnsi="宋体" w:eastAsia="宋体" w:cs="宋体"/>
          <w:kern w:val="0"/>
          <w:szCs w:val="21"/>
        </w:rPr>
        <w:t>附件：12项检索关键词：增值电信业务（互联网数据中心业务、内容分发网络业务、国内互联网虚拟专用网业务、互联网接入服务业务、在线数据处理与交易处理业务、国内多方通信服务业务、存储转发类业务、国内呼叫中心业务、信息服务业务、域名解析服务业务、固定网国内数据传送业务、网络托管业务、通过转售方式提供的蜂窝移动通信业务）</w:t>
      </w:r>
      <w:bookmarkEnd w:id="3"/>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ind w:firstLine="136" w:firstLineChars="50"/>
        <w:rPr>
          <w:rFonts w:ascii="仿宋_GB2312" w:eastAsia="仿宋_GB2312"/>
          <w:sz w:val="28"/>
          <w:szCs w:val="28"/>
        </w:rPr>
      </w:pPr>
      <w:bookmarkStart w:id="4" w:name="CS"/>
      <w:bookmarkEnd w:id="4"/>
      <w:r>
        <w:rPr>
          <w:rFonts w:ascii="仿宋_GB2312" w:eastAsia="仿宋_GB2312"/>
          <w:sz w:val="28"/>
          <w:szCs w:val="28"/>
        </w:rPr>
        <w:pict>
          <v:line id="_x0000_s1030" o:spid="_x0000_s1030" o:spt="20" style="position:absolute;left:0pt;margin-left:0.4pt;margin-top:35.15pt;height:0pt;width:441.8pt;mso-wrap-distance-bottom:0pt;mso-wrap-distance-top:0pt;z-index:251660288;mso-width-relative:page;mso-height-relative:page;" coordsize="21600,21600">
            <v:path arrowok="t"/>
            <v:fill focussize="0,0"/>
            <v:stroke weight="0.5pt"/>
            <v:imagedata o:title=""/>
            <o:lock v:ext="edit"/>
            <w10:wrap type="topAndBottom"/>
          </v:line>
        </w:pict>
      </w:r>
      <w:r>
        <w:rPr>
          <w:rFonts w:ascii="仿宋_GB2312" w:eastAsia="仿宋_GB2312"/>
          <w:sz w:val="28"/>
          <w:szCs w:val="28"/>
        </w:rPr>
        <w:pict>
          <v:line id="_x0000_s1031" o:spid="_x0000_s1031" o:spt="20" style="position:absolute;left:0pt;margin-left:0pt;margin-top:1.35pt;height:0pt;width:441.8pt;mso-wrap-distance-bottom:0pt;mso-wrap-distance-top:0pt;z-index:251661312;mso-width-relative:page;mso-height-relative:page;" coordsize="21600,21600">
            <v:path arrowok="t"/>
            <v:fill focussize="0,0"/>
            <v:stroke weight="0.25pt"/>
            <v:imagedata o:title=""/>
            <o:lock v:ext="edit"/>
            <w10:wrap type="topAndBottom"/>
          </v:line>
        </w:pict>
      </w:r>
      <w:r>
        <w:rPr>
          <w:rFonts w:hint="eastAsia" w:ascii="仿宋_GB2312" w:eastAsia="仿宋_GB2312"/>
          <w:sz w:val="28"/>
          <w:szCs w:val="28"/>
        </w:rPr>
        <w:t>辽宁省市场监督管理局办公室                 2019 年4月4日印发</w:t>
      </w:r>
    </w:p>
    <w:p/>
    <w:sectPr>
      <w:footerReference r:id="rId3" w:type="default"/>
      <w:footerReference r:id="rId4" w:type="even"/>
      <w:pgSz w:w="11906" w:h="16838"/>
      <w:pgMar w:top="2098" w:right="1474" w:bottom="1985" w:left="1588" w:header="851" w:footer="1361" w:gutter="0"/>
      <w:cols w:space="425" w:num="1"/>
      <w:docGrid w:type="linesAndChars" w:linePitch="28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p>
  <w:p>
    <w:pPr>
      <w:tabs>
        <w:tab w:val="center" w:pos="4153"/>
        <w:tab w:val="right" w:pos="8306"/>
      </w:tabs>
      <w:snapToGrid w:val="0"/>
      <w:ind w:firstLine="7560" w:firstLineChars="2700"/>
      <w:jc w:val="left"/>
      <w:rPr>
        <w:rFonts w:ascii="Times New Roman" w:hAnsi="Times New Roman" w:eastAsia="楷体_GB2312" w:cs="Times New Roman"/>
        <w:sz w:val="28"/>
        <w:szCs w:val="28"/>
      </w:rPr>
    </w:pPr>
    <w:r>
      <w:rPr>
        <w:rFonts w:ascii="Times New Roman" w:hAnsi="Times New Roman" w:eastAsia="楷体_GB2312" w:cs="Times New Roman"/>
        <w:sz w:val="28"/>
        <w:szCs w:val="28"/>
      </w:rPr>
      <w:t xml:space="preserve">— </w:t>
    </w:r>
    <w:r>
      <w:rPr>
        <w:rFonts w:ascii="Times New Roman" w:hAnsi="Times New Roman" w:eastAsia="楷体_GB2312" w:cs="Times New Roman"/>
        <w:sz w:val="28"/>
        <w:szCs w:val="28"/>
      </w:rPr>
      <w:fldChar w:fldCharType="begin"/>
    </w:r>
    <w:r>
      <w:rPr>
        <w:rFonts w:ascii="Times New Roman" w:hAnsi="Times New Roman" w:eastAsia="楷体_GB2312" w:cs="Times New Roman"/>
        <w:sz w:val="28"/>
        <w:szCs w:val="28"/>
      </w:rPr>
      <w:instrText xml:space="preserve">PAGE   \* MERGEFORMAT</w:instrText>
    </w:r>
    <w:r>
      <w:rPr>
        <w:rFonts w:ascii="Times New Roman" w:hAnsi="Times New Roman" w:eastAsia="楷体_GB2312" w:cs="Times New Roman"/>
        <w:sz w:val="28"/>
        <w:szCs w:val="28"/>
      </w:rPr>
      <w:fldChar w:fldCharType="separate"/>
    </w:r>
    <w:r>
      <w:rPr>
        <w:rFonts w:ascii="Times New Roman" w:hAnsi="Times New Roman" w:eastAsia="楷体_GB2312" w:cs="Times New Roman"/>
        <w:sz w:val="28"/>
        <w:szCs w:val="28"/>
        <w:lang w:val="zh-CN"/>
      </w:rPr>
      <w:t>1</w:t>
    </w:r>
    <w:r>
      <w:rPr>
        <w:rFonts w:ascii="Times New Roman" w:hAnsi="Times New Roman" w:eastAsia="楷体_GB2312" w:cs="Times New Roman"/>
        <w:sz w:val="28"/>
        <w:szCs w:val="28"/>
      </w:rPr>
      <w:fldChar w:fldCharType="end"/>
    </w:r>
    <w:r>
      <w:rPr>
        <w:rFonts w:ascii="Times New Roman" w:hAnsi="Times New Roman" w:eastAsia="楷体_GB2312" w:cs="Times New Roman"/>
        <w:sz w:val="28"/>
        <w:szCs w:val="28"/>
      </w:rPr>
      <w:t xml:space="preserve"> —</w:t>
    </w:r>
  </w:p>
  <w:p>
    <w:pPr>
      <w:pStyle w:val="4"/>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140" w:firstLineChars="50"/>
      <w:rPr>
        <w:rFonts w:ascii="Times New Roman" w:hAnsi="Times New Roman" w:eastAsia="楷体_GB2312" w:cs="Times New Roman"/>
        <w:sz w:val="28"/>
        <w:szCs w:val="28"/>
      </w:rPr>
    </w:pPr>
    <w:r>
      <w:rPr>
        <w:rFonts w:ascii="Times New Roman" w:hAnsi="Times New Roman" w:eastAsia="楷体_GB2312" w:cs="Times New Roman"/>
        <w:sz w:val="28"/>
        <w:szCs w:val="28"/>
      </w:rPr>
      <w:t xml:space="preserve">— </w:t>
    </w:r>
    <w:r>
      <w:rPr>
        <w:rFonts w:ascii="Times New Roman" w:hAnsi="Times New Roman" w:eastAsia="楷体_GB2312" w:cs="Times New Roman"/>
        <w:sz w:val="28"/>
        <w:szCs w:val="28"/>
      </w:rPr>
      <w:fldChar w:fldCharType="begin"/>
    </w:r>
    <w:r>
      <w:rPr>
        <w:rFonts w:ascii="Times New Roman" w:hAnsi="Times New Roman" w:eastAsia="楷体_GB2312" w:cs="Times New Roman"/>
        <w:sz w:val="28"/>
        <w:szCs w:val="28"/>
      </w:rPr>
      <w:instrText xml:space="preserve">PAGE   \* MERGEFORMAT</w:instrText>
    </w:r>
    <w:r>
      <w:rPr>
        <w:rFonts w:ascii="Times New Roman" w:hAnsi="Times New Roman" w:eastAsia="楷体_GB2312" w:cs="Times New Roman"/>
        <w:sz w:val="28"/>
        <w:szCs w:val="28"/>
      </w:rPr>
      <w:fldChar w:fldCharType="separate"/>
    </w:r>
    <w:r>
      <w:rPr>
        <w:rFonts w:ascii="Times New Roman" w:hAnsi="Times New Roman" w:eastAsia="楷体_GB2312" w:cs="Times New Roman"/>
        <w:sz w:val="28"/>
        <w:szCs w:val="28"/>
        <w:lang w:val="zh-CN"/>
      </w:rPr>
      <w:t>2</w:t>
    </w:r>
    <w:r>
      <w:rPr>
        <w:rFonts w:ascii="Times New Roman" w:hAnsi="Times New Roman" w:eastAsia="楷体_GB2312" w:cs="Times New Roman"/>
        <w:sz w:val="28"/>
        <w:szCs w:val="28"/>
      </w:rPr>
      <w:fldChar w:fldCharType="end"/>
    </w:r>
    <w:r>
      <w:rPr>
        <w:rFonts w:ascii="Times New Roman" w:hAnsi="Times New Roman" w:eastAsia="楷体_GB2312" w:cs="Times New Roman"/>
        <w:sz w:val="28"/>
        <w:szCs w:val="28"/>
      </w:rPr>
      <w:t xml:space="preserve"> —</w: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evenAndOddHeaders w:val="1"/>
  <w:drawingGridHorizontalSpacing w:val="201"/>
  <w:drawingGridVerticalSpacing w:val="28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CEE"/>
    <w:rsid w:val="00002005"/>
    <w:rsid w:val="000037F8"/>
    <w:rsid w:val="00015C43"/>
    <w:rsid w:val="000264C4"/>
    <w:rsid w:val="000329C3"/>
    <w:rsid w:val="000418D4"/>
    <w:rsid w:val="00042DCD"/>
    <w:rsid w:val="0004325B"/>
    <w:rsid w:val="00047AE6"/>
    <w:rsid w:val="000663C1"/>
    <w:rsid w:val="00073EDE"/>
    <w:rsid w:val="00080AED"/>
    <w:rsid w:val="00082258"/>
    <w:rsid w:val="000C41D3"/>
    <w:rsid w:val="000C7457"/>
    <w:rsid w:val="000E165A"/>
    <w:rsid w:val="000E5602"/>
    <w:rsid w:val="000F48F1"/>
    <w:rsid w:val="00100FD4"/>
    <w:rsid w:val="00115480"/>
    <w:rsid w:val="0011682D"/>
    <w:rsid w:val="00130755"/>
    <w:rsid w:val="00142B5E"/>
    <w:rsid w:val="00145628"/>
    <w:rsid w:val="001501E9"/>
    <w:rsid w:val="00163E0E"/>
    <w:rsid w:val="00165F28"/>
    <w:rsid w:val="0017313F"/>
    <w:rsid w:val="00182DDA"/>
    <w:rsid w:val="001937B8"/>
    <w:rsid w:val="001A65F0"/>
    <w:rsid w:val="001B0A5B"/>
    <w:rsid w:val="001B2B6B"/>
    <w:rsid w:val="001B6E54"/>
    <w:rsid w:val="001C2009"/>
    <w:rsid w:val="001C3363"/>
    <w:rsid w:val="001E4C9D"/>
    <w:rsid w:val="001E6F81"/>
    <w:rsid w:val="001F0B65"/>
    <w:rsid w:val="0020481E"/>
    <w:rsid w:val="002233C6"/>
    <w:rsid w:val="0022694F"/>
    <w:rsid w:val="00231660"/>
    <w:rsid w:val="002323EA"/>
    <w:rsid w:val="002373AC"/>
    <w:rsid w:val="00245B3A"/>
    <w:rsid w:val="0024623D"/>
    <w:rsid w:val="00247716"/>
    <w:rsid w:val="0025069C"/>
    <w:rsid w:val="00252864"/>
    <w:rsid w:val="002547B9"/>
    <w:rsid w:val="00257656"/>
    <w:rsid w:val="0026270F"/>
    <w:rsid w:val="0027414D"/>
    <w:rsid w:val="00274774"/>
    <w:rsid w:val="002777E9"/>
    <w:rsid w:val="00292A70"/>
    <w:rsid w:val="00292AF8"/>
    <w:rsid w:val="00293D37"/>
    <w:rsid w:val="002A026C"/>
    <w:rsid w:val="002A4ECB"/>
    <w:rsid w:val="002A621D"/>
    <w:rsid w:val="002C0406"/>
    <w:rsid w:val="002C21DE"/>
    <w:rsid w:val="002C6F1C"/>
    <w:rsid w:val="002D6613"/>
    <w:rsid w:val="0030543E"/>
    <w:rsid w:val="003110ED"/>
    <w:rsid w:val="003226E3"/>
    <w:rsid w:val="00323942"/>
    <w:rsid w:val="003276E6"/>
    <w:rsid w:val="00336DAF"/>
    <w:rsid w:val="00341945"/>
    <w:rsid w:val="0034218B"/>
    <w:rsid w:val="0035410D"/>
    <w:rsid w:val="0036658A"/>
    <w:rsid w:val="0037154E"/>
    <w:rsid w:val="00391384"/>
    <w:rsid w:val="0039215E"/>
    <w:rsid w:val="003946A4"/>
    <w:rsid w:val="003A560B"/>
    <w:rsid w:val="003B10A8"/>
    <w:rsid w:val="003C4304"/>
    <w:rsid w:val="003C578F"/>
    <w:rsid w:val="003C6648"/>
    <w:rsid w:val="003C7579"/>
    <w:rsid w:val="003D66E1"/>
    <w:rsid w:val="003E1DE8"/>
    <w:rsid w:val="003F4788"/>
    <w:rsid w:val="00400143"/>
    <w:rsid w:val="0040451A"/>
    <w:rsid w:val="004051F3"/>
    <w:rsid w:val="004112C1"/>
    <w:rsid w:val="00414633"/>
    <w:rsid w:val="00420133"/>
    <w:rsid w:val="00424AC6"/>
    <w:rsid w:val="004263D7"/>
    <w:rsid w:val="00430AEC"/>
    <w:rsid w:val="00430C7B"/>
    <w:rsid w:val="0044760C"/>
    <w:rsid w:val="004502B6"/>
    <w:rsid w:val="0045096D"/>
    <w:rsid w:val="0045334D"/>
    <w:rsid w:val="00454AFD"/>
    <w:rsid w:val="0046024F"/>
    <w:rsid w:val="004707E0"/>
    <w:rsid w:val="004710B1"/>
    <w:rsid w:val="004758B6"/>
    <w:rsid w:val="00477BCE"/>
    <w:rsid w:val="00481D60"/>
    <w:rsid w:val="00495B53"/>
    <w:rsid w:val="004A375F"/>
    <w:rsid w:val="004A3CB2"/>
    <w:rsid w:val="004B1FEC"/>
    <w:rsid w:val="004B3176"/>
    <w:rsid w:val="004C4474"/>
    <w:rsid w:val="004D023E"/>
    <w:rsid w:val="004D4B1E"/>
    <w:rsid w:val="004E1374"/>
    <w:rsid w:val="004E2832"/>
    <w:rsid w:val="004E7AB7"/>
    <w:rsid w:val="004F3E22"/>
    <w:rsid w:val="004F58A6"/>
    <w:rsid w:val="005008A5"/>
    <w:rsid w:val="00502B6F"/>
    <w:rsid w:val="00507242"/>
    <w:rsid w:val="00526C5E"/>
    <w:rsid w:val="005319F2"/>
    <w:rsid w:val="005321A7"/>
    <w:rsid w:val="00534326"/>
    <w:rsid w:val="005366ED"/>
    <w:rsid w:val="005412A5"/>
    <w:rsid w:val="005475E3"/>
    <w:rsid w:val="00552C34"/>
    <w:rsid w:val="0056031F"/>
    <w:rsid w:val="00560DB6"/>
    <w:rsid w:val="00564543"/>
    <w:rsid w:val="005668C7"/>
    <w:rsid w:val="00567542"/>
    <w:rsid w:val="00582D46"/>
    <w:rsid w:val="00585F4E"/>
    <w:rsid w:val="0058692C"/>
    <w:rsid w:val="0058734E"/>
    <w:rsid w:val="00595C57"/>
    <w:rsid w:val="00596783"/>
    <w:rsid w:val="005A340F"/>
    <w:rsid w:val="005A62FA"/>
    <w:rsid w:val="005B2334"/>
    <w:rsid w:val="005B2CB6"/>
    <w:rsid w:val="005B5A0D"/>
    <w:rsid w:val="005B6CEE"/>
    <w:rsid w:val="005C0C04"/>
    <w:rsid w:val="005D30DD"/>
    <w:rsid w:val="005D40C2"/>
    <w:rsid w:val="005F623E"/>
    <w:rsid w:val="006034AF"/>
    <w:rsid w:val="006105C9"/>
    <w:rsid w:val="00613BB6"/>
    <w:rsid w:val="0061480B"/>
    <w:rsid w:val="0061561F"/>
    <w:rsid w:val="00620EAE"/>
    <w:rsid w:val="00637359"/>
    <w:rsid w:val="00637463"/>
    <w:rsid w:val="00652180"/>
    <w:rsid w:val="00654242"/>
    <w:rsid w:val="0065590B"/>
    <w:rsid w:val="006672F1"/>
    <w:rsid w:val="00674236"/>
    <w:rsid w:val="00675D13"/>
    <w:rsid w:val="006760CA"/>
    <w:rsid w:val="00680D8F"/>
    <w:rsid w:val="00690761"/>
    <w:rsid w:val="006A4A35"/>
    <w:rsid w:val="006B02AC"/>
    <w:rsid w:val="006C47D9"/>
    <w:rsid w:val="006D20A8"/>
    <w:rsid w:val="006D27FC"/>
    <w:rsid w:val="006D6BAA"/>
    <w:rsid w:val="006D76A5"/>
    <w:rsid w:val="006E7146"/>
    <w:rsid w:val="006F18BD"/>
    <w:rsid w:val="0070260B"/>
    <w:rsid w:val="007051BE"/>
    <w:rsid w:val="00707F8B"/>
    <w:rsid w:val="007110B7"/>
    <w:rsid w:val="00720A2C"/>
    <w:rsid w:val="00723604"/>
    <w:rsid w:val="00744EEA"/>
    <w:rsid w:val="00746B9A"/>
    <w:rsid w:val="007519C6"/>
    <w:rsid w:val="0076620C"/>
    <w:rsid w:val="00783807"/>
    <w:rsid w:val="00785822"/>
    <w:rsid w:val="00785CF9"/>
    <w:rsid w:val="0078623D"/>
    <w:rsid w:val="007913CB"/>
    <w:rsid w:val="0079298B"/>
    <w:rsid w:val="007A3539"/>
    <w:rsid w:val="007A721A"/>
    <w:rsid w:val="007B3A6C"/>
    <w:rsid w:val="007C013F"/>
    <w:rsid w:val="007D2587"/>
    <w:rsid w:val="007D7470"/>
    <w:rsid w:val="007E55E4"/>
    <w:rsid w:val="00800DE3"/>
    <w:rsid w:val="008027BB"/>
    <w:rsid w:val="00812C49"/>
    <w:rsid w:val="008159B7"/>
    <w:rsid w:val="00831FFE"/>
    <w:rsid w:val="00844860"/>
    <w:rsid w:val="00845E2F"/>
    <w:rsid w:val="00854486"/>
    <w:rsid w:val="0088389E"/>
    <w:rsid w:val="008B0758"/>
    <w:rsid w:val="008B1E9E"/>
    <w:rsid w:val="008B5499"/>
    <w:rsid w:val="008C56B5"/>
    <w:rsid w:val="008C6374"/>
    <w:rsid w:val="008D1474"/>
    <w:rsid w:val="008D244A"/>
    <w:rsid w:val="008D551B"/>
    <w:rsid w:val="008D58D1"/>
    <w:rsid w:val="008D7882"/>
    <w:rsid w:val="008E1C04"/>
    <w:rsid w:val="008E4DBB"/>
    <w:rsid w:val="008E6816"/>
    <w:rsid w:val="008F639F"/>
    <w:rsid w:val="008F69A1"/>
    <w:rsid w:val="00905674"/>
    <w:rsid w:val="0090737C"/>
    <w:rsid w:val="00912278"/>
    <w:rsid w:val="009236C8"/>
    <w:rsid w:val="00931CF8"/>
    <w:rsid w:val="0093262E"/>
    <w:rsid w:val="009473A8"/>
    <w:rsid w:val="00965EDF"/>
    <w:rsid w:val="009671CD"/>
    <w:rsid w:val="00985EBF"/>
    <w:rsid w:val="009A0A93"/>
    <w:rsid w:val="009A2A48"/>
    <w:rsid w:val="009A5D8C"/>
    <w:rsid w:val="009B2E87"/>
    <w:rsid w:val="009B56F7"/>
    <w:rsid w:val="009C1D33"/>
    <w:rsid w:val="009C6415"/>
    <w:rsid w:val="009D7845"/>
    <w:rsid w:val="009E212F"/>
    <w:rsid w:val="009E57AA"/>
    <w:rsid w:val="009E6005"/>
    <w:rsid w:val="009F2D0F"/>
    <w:rsid w:val="009F5784"/>
    <w:rsid w:val="00A01F53"/>
    <w:rsid w:val="00A022FA"/>
    <w:rsid w:val="00A03B5D"/>
    <w:rsid w:val="00A11286"/>
    <w:rsid w:val="00A17D51"/>
    <w:rsid w:val="00A34918"/>
    <w:rsid w:val="00A4432E"/>
    <w:rsid w:val="00A573B5"/>
    <w:rsid w:val="00A7665F"/>
    <w:rsid w:val="00A84EB6"/>
    <w:rsid w:val="00A938F1"/>
    <w:rsid w:val="00A97C84"/>
    <w:rsid w:val="00AA2FC2"/>
    <w:rsid w:val="00AC4C68"/>
    <w:rsid w:val="00AC5657"/>
    <w:rsid w:val="00AD35ED"/>
    <w:rsid w:val="00AE202C"/>
    <w:rsid w:val="00AE7F71"/>
    <w:rsid w:val="00AF7FC6"/>
    <w:rsid w:val="00B000A6"/>
    <w:rsid w:val="00B10D81"/>
    <w:rsid w:val="00B172D4"/>
    <w:rsid w:val="00B21576"/>
    <w:rsid w:val="00B30444"/>
    <w:rsid w:val="00B34726"/>
    <w:rsid w:val="00B360B5"/>
    <w:rsid w:val="00B477FC"/>
    <w:rsid w:val="00B52217"/>
    <w:rsid w:val="00B53614"/>
    <w:rsid w:val="00B54368"/>
    <w:rsid w:val="00B55CB4"/>
    <w:rsid w:val="00B6164D"/>
    <w:rsid w:val="00B64111"/>
    <w:rsid w:val="00B66FAF"/>
    <w:rsid w:val="00B70C5E"/>
    <w:rsid w:val="00B7270D"/>
    <w:rsid w:val="00B75644"/>
    <w:rsid w:val="00B76AEE"/>
    <w:rsid w:val="00B80BBF"/>
    <w:rsid w:val="00B80E4D"/>
    <w:rsid w:val="00B91194"/>
    <w:rsid w:val="00B933D6"/>
    <w:rsid w:val="00B96924"/>
    <w:rsid w:val="00BC0161"/>
    <w:rsid w:val="00BC4EC1"/>
    <w:rsid w:val="00BC52E8"/>
    <w:rsid w:val="00BE25FB"/>
    <w:rsid w:val="00BE38BB"/>
    <w:rsid w:val="00BF24C2"/>
    <w:rsid w:val="00BF6799"/>
    <w:rsid w:val="00C01E4D"/>
    <w:rsid w:val="00C02311"/>
    <w:rsid w:val="00C04121"/>
    <w:rsid w:val="00C05BEC"/>
    <w:rsid w:val="00C15D04"/>
    <w:rsid w:val="00C34175"/>
    <w:rsid w:val="00C6071F"/>
    <w:rsid w:val="00C62AA8"/>
    <w:rsid w:val="00C9509F"/>
    <w:rsid w:val="00C95339"/>
    <w:rsid w:val="00C95D3F"/>
    <w:rsid w:val="00CA57D5"/>
    <w:rsid w:val="00CA5BAB"/>
    <w:rsid w:val="00CB5BC9"/>
    <w:rsid w:val="00CD295B"/>
    <w:rsid w:val="00CD5E23"/>
    <w:rsid w:val="00D00CF9"/>
    <w:rsid w:val="00D014F7"/>
    <w:rsid w:val="00D13A7B"/>
    <w:rsid w:val="00D16A9D"/>
    <w:rsid w:val="00D270E7"/>
    <w:rsid w:val="00D3070F"/>
    <w:rsid w:val="00D3274D"/>
    <w:rsid w:val="00D36BA1"/>
    <w:rsid w:val="00D414FA"/>
    <w:rsid w:val="00D4155C"/>
    <w:rsid w:val="00D77C4C"/>
    <w:rsid w:val="00D8190A"/>
    <w:rsid w:val="00D81F4A"/>
    <w:rsid w:val="00D82C7E"/>
    <w:rsid w:val="00D93363"/>
    <w:rsid w:val="00D95DC5"/>
    <w:rsid w:val="00D9632A"/>
    <w:rsid w:val="00DA4EFC"/>
    <w:rsid w:val="00DB184D"/>
    <w:rsid w:val="00DC0C76"/>
    <w:rsid w:val="00DC2979"/>
    <w:rsid w:val="00DC35FB"/>
    <w:rsid w:val="00DC580A"/>
    <w:rsid w:val="00DD3A08"/>
    <w:rsid w:val="00DE1635"/>
    <w:rsid w:val="00DE5BAE"/>
    <w:rsid w:val="00E10F79"/>
    <w:rsid w:val="00E332EB"/>
    <w:rsid w:val="00E4210D"/>
    <w:rsid w:val="00E4245D"/>
    <w:rsid w:val="00E4637C"/>
    <w:rsid w:val="00E501EE"/>
    <w:rsid w:val="00E50C65"/>
    <w:rsid w:val="00E514DB"/>
    <w:rsid w:val="00E5729D"/>
    <w:rsid w:val="00E746C2"/>
    <w:rsid w:val="00E83FAA"/>
    <w:rsid w:val="00E903E6"/>
    <w:rsid w:val="00E922BB"/>
    <w:rsid w:val="00E9728C"/>
    <w:rsid w:val="00EA2EA5"/>
    <w:rsid w:val="00EC1462"/>
    <w:rsid w:val="00EC17A4"/>
    <w:rsid w:val="00ED1A66"/>
    <w:rsid w:val="00ED3E57"/>
    <w:rsid w:val="00EF726C"/>
    <w:rsid w:val="00F014F7"/>
    <w:rsid w:val="00F059CB"/>
    <w:rsid w:val="00F07C95"/>
    <w:rsid w:val="00F142FE"/>
    <w:rsid w:val="00F22717"/>
    <w:rsid w:val="00F40B47"/>
    <w:rsid w:val="00F44060"/>
    <w:rsid w:val="00F712F7"/>
    <w:rsid w:val="00F73910"/>
    <w:rsid w:val="00F80CD5"/>
    <w:rsid w:val="00F83670"/>
    <w:rsid w:val="00F85BB2"/>
    <w:rsid w:val="00FA04C7"/>
    <w:rsid w:val="00FA2AEB"/>
    <w:rsid w:val="00FB48AF"/>
    <w:rsid w:val="00FC4364"/>
    <w:rsid w:val="00FC517D"/>
    <w:rsid w:val="00FD46C8"/>
    <w:rsid w:val="00FD7DCE"/>
    <w:rsid w:val="00FF48A0"/>
    <w:rsid w:val="5C6D0194"/>
    <w:rsid w:val="6B040553"/>
    <w:rsid w:val="7DDE20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25"/>
    <w:semiHidden/>
    <w:unhideWhenUsed/>
    <w:qFormat/>
    <w:uiPriority w:val="99"/>
    <w:pPr>
      <w:ind w:left="100" w:leftChars="2500"/>
    </w:pPr>
  </w:style>
  <w:style w:type="paragraph" w:styleId="3">
    <w:name w:val="Balloon Text"/>
    <w:basedOn w:val="1"/>
    <w:link w:val="24"/>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FollowedHyperlink"/>
    <w:basedOn w:val="7"/>
    <w:semiHidden/>
    <w:unhideWhenUsed/>
    <w:qFormat/>
    <w:uiPriority w:val="99"/>
    <w:rPr>
      <w:color w:val="800080"/>
      <w:u w:val="single"/>
    </w:rPr>
  </w:style>
  <w:style w:type="character" w:styleId="9">
    <w:name w:val="Hyperlink"/>
    <w:basedOn w:val="7"/>
    <w:semiHidden/>
    <w:unhideWhenUsed/>
    <w:qFormat/>
    <w:uiPriority w:val="99"/>
    <w:rPr>
      <w:color w:val="0000FF"/>
      <w:u w:val="single"/>
    </w:rPr>
  </w:style>
  <w:style w:type="character" w:customStyle="1" w:styleId="10">
    <w:name w:val="页眉 Char"/>
    <w:basedOn w:val="7"/>
    <w:link w:val="5"/>
    <w:qFormat/>
    <w:uiPriority w:val="99"/>
    <w:rPr>
      <w:sz w:val="18"/>
      <w:szCs w:val="18"/>
    </w:rPr>
  </w:style>
  <w:style w:type="character" w:customStyle="1" w:styleId="11">
    <w:name w:val="页脚 Char"/>
    <w:basedOn w:val="7"/>
    <w:link w:val="4"/>
    <w:qFormat/>
    <w:uiPriority w:val="99"/>
    <w:rPr>
      <w:sz w:val="18"/>
      <w:szCs w:val="18"/>
    </w:rPr>
  </w:style>
  <w:style w:type="paragraph" w:customStyle="1" w:styleId="12">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3">
    <w:name w:val="font6"/>
    <w:basedOn w:val="1"/>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4">
    <w:name w:val="xl67"/>
    <w:basedOn w:val="1"/>
    <w:qFormat/>
    <w:uiPriority w:val="0"/>
    <w:pPr>
      <w:widowControl/>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15">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b/>
      <w:bCs/>
      <w:kern w:val="0"/>
      <w:sz w:val="18"/>
      <w:szCs w:val="18"/>
    </w:rPr>
  </w:style>
  <w:style w:type="paragraph" w:customStyle="1" w:styleId="16">
    <w:name w:val="xl69"/>
    <w:basedOn w:val="1"/>
    <w:qFormat/>
    <w:uiPriority w:val="0"/>
    <w:pPr>
      <w:widowControl/>
      <w:shd w:val="clear" w:color="000000" w:fill="FFFFFF"/>
      <w:spacing w:before="100" w:beforeAutospacing="1" w:after="100" w:afterAutospacing="1"/>
      <w:jc w:val="center"/>
    </w:pPr>
    <w:rPr>
      <w:rFonts w:ascii="宋体" w:hAnsi="宋体" w:eastAsia="宋体" w:cs="宋体"/>
      <w:b/>
      <w:bCs/>
      <w:kern w:val="0"/>
      <w:sz w:val="18"/>
      <w:szCs w:val="18"/>
    </w:rPr>
  </w:style>
  <w:style w:type="paragraph" w:customStyle="1" w:styleId="17">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18">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18"/>
      <w:szCs w:val="18"/>
    </w:rPr>
  </w:style>
  <w:style w:type="paragraph" w:customStyle="1" w:styleId="19">
    <w:name w:val="xl72"/>
    <w:basedOn w:val="1"/>
    <w:qFormat/>
    <w:uiPriority w:val="0"/>
    <w:pPr>
      <w:widowControl/>
      <w:shd w:val="clear" w:color="000000" w:fill="FFFFFF"/>
      <w:spacing w:before="100" w:beforeAutospacing="1" w:after="100" w:afterAutospacing="1"/>
      <w:jc w:val="center"/>
    </w:pPr>
    <w:rPr>
      <w:rFonts w:ascii="宋体" w:hAnsi="宋体" w:eastAsia="宋体" w:cs="宋体"/>
      <w:b/>
      <w:bCs/>
      <w:color w:val="0000FF"/>
      <w:kern w:val="0"/>
      <w:sz w:val="18"/>
      <w:szCs w:val="18"/>
    </w:rPr>
  </w:style>
  <w:style w:type="paragraph" w:customStyle="1" w:styleId="20">
    <w:name w:val="xl73"/>
    <w:basedOn w:val="1"/>
    <w:qFormat/>
    <w:uiPriority w:val="0"/>
    <w:pPr>
      <w:widowControl/>
      <w:shd w:val="clear" w:color="000000" w:fill="FFFFFF"/>
      <w:spacing w:before="100" w:beforeAutospacing="1" w:after="100" w:afterAutospacing="1"/>
      <w:jc w:val="center"/>
    </w:pPr>
    <w:rPr>
      <w:rFonts w:ascii="宋体" w:hAnsi="宋体" w:eastAsia="宋体" w:cs="宋体"/>
      <w:color w:val="0000FF"/>
      <w:kern w:val="0"/>
      <w:sz w:val="18"/>
      <w:szCs w:val="18"/>
    </w:rPr>
  </w:style>
  <w:style w:type="paragraph" w:customStyle="1" w:styleId="21">
    <w:name w:val="xl74"/>
    <w:basedOn w:val="1"/>
    <w:qFormat/>
    <w:uiPriority w:val="0"/>
    <w:pPr>
      <w:widowControl/>
      <w:shd w:val="clear" w:color="000000" w:fill="FFFFFF"/>
      <w:spacing w:before="100" w:beforeAutospacing="1" w:after="100" w:afterAutospacing="1"/>
      <w:jc w:val="center"/>
    </w:pPr>
    <w:rPr>
      <w:rFonts w:ascii="宋体" w:hAnsi="宋体" w:eastAsia="宋体" w:cs="宋体"/>
      <w:color w:val="FF0000"/>
      <w:kern w:val="0"/>
      <w:sz w:val="18"/>
      <w:szCs w:val="18"/>
    </w:rPr>
  </w:style>
  <w:style w:type="paragraph" w:customStyle="1" w:styleId="22">
    <w:name w:val="xl75"/>
    <w:basedOn w:val="1"/>
    <w:qFormat/>
    <w:uiPriority w:val="0"/>
    <w:pPr>
      <w:widowControl/>
      <w:shd w:val="clear" w:color="000000" w:fill="FFFFFF"/>
      <w:spacing w:before="100" w:beforeAutospacing="1" w:after="100" w:afterAutospacing="1"/>
      <w:jc w:val="left"/>
    </w:pPr>
    <w:rPr>
      <w:rFonts w:ascii="宋体" w:hAnsi="宋体" w:eastAsia="宋体" w:cs="宋体"/>
      <w:kern w:val="0"/>
      <w:sz w:val="18"/>
      <w:szCs w:val="18"/>
    </w:rPr>
  </w:style>
  <w:style w:type="paragraph" w:customStyle="1" w:styleId="23">
    <w:name w:val="xl76"/>
    <w:basedOn w:val="1"/>
    <w:qFormat/>
    <w:uiPriority w:val="0"/>
    <w:pPr>
      <w:widowControl/>
      <w:shd w:val="clear" w:color="000000" w:fill="FFFFFF"/>
      <w:spacing w:before="100" w:beforeAutospacing="1" w:after="100" w:afterAutospacing="1"/>
      <w:jc w:val="center"/>
    </w:pPr>
    <w:rPr>
      <w:rFonts w:ascii="宋体" w:hAnsi="宋体" w:eastAsia="宋体" w:cs="宋体"/>
      <w:b/>
      <w:bCs/>
      <w:kern w:val="0"/>
      <w:sz w:val="28"/>
      <w:szCs w:val="28"/>
    </w:rPr>
  </w:style>
  <w:style w:type="character" w:customStyle="1" w:styleId="24">
    <w:name w:val="批注框文本 Char"/>
    <w:basedOn w:val="7"/>
    <w:link w:val="3"/>
    <w:semiHidden/>
    <w:qFormat/>
    <w:uiPriority w:val="99"/>
    <w:rPr>
      <w:sz w:val="18"/>
      <w:szCs w:val="18"/>
    </w:rPr>
  </w:style>
  <w:style w:type="character" w:customStyle="1" w:styleId="25">
    <w:name w:val="日期 Char"/>
    <w:basedOn w:val="7"/>
    <w:link w:val="2"/>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wmf"/><Relationship Id="rId6" Type="http://schemas.openxmlformats.org/officeDocument/2006/relationships/control" Target="activeX/activeX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AA4B3718-B61C-4BCC-AEE7-0AA47D3C0DDA}"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9"/>
    <customShpInfo spid="_x0000_s1032"/>
    <customShpInfo spid="_x0000_s1030"/>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3500</Words>
  <Characters>19955</Characters>
  <Lines>166</Lines>
  <Paragraphs>46</Paragraphs>
  <TotalTime>150</TotalTime>
  <ScaleCrop>false</ScaleCrop>
  <LinksUpToDate>false</LinksUpToDate>
  <CharactersWithSpaces>23409</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2019-03-29T07:10:00Z</dcterms:created>
  <dc:creator>NTKO</dc:creator>
  <cp:lastModifiedBy>STEF牌粉丝</cp:lastModifiedBy>
  <cp:lastPrinted>2018-12-06T02:30:00Z</cp:lastPrinted>
  <dcterms:modified xsi:type="dcterms:W3CDTF">2020-08-12T07:24:23Z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