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1708" w:firstLineChars="400"/>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铁岭</w:t>
      </w:r>
      <w:r>
        <w:rPr>
          <w:rFonts w:hint="eastAsia" w:ascii="方正小标宋简体" w:hAnsi="方正小标宋简体" w:eastAsia="方正小标宋简体" w:cs="方正小标宋简体"/>
          <w:bCs/>
          <w:sz w:val="44"/>
          <w:szCs w:val="44"/>
        </w:rPr>
        <w:t>市市场监督管理局关于</w:t>
      </w:r>
    </w:p>
    <w:p>
      <w:pPr>
        <w:spacing w:line="0" w:lineRule="atLeas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年法治政府建设情况的报告</w:t>
      </w:r>
    </w:p>
    <w:p>
      <w:pPr>
        <w:rPr>
          <w:rFonts w:hint="eastAsia"/>
          <w:sz w:val="32"/>
          <w:szCs w:val="32"/>
        </w:rPr>
      </w:pPr>
    </w:p>
    <w:p>
      <w:pPr>
        <w:rPr>
          <w:rFonts w:hint="eastAsia" w:ascii="仿宋_GB2312" w:eastAsia="仿宋_GB2312"/>
          <w:sz w:val="32"/>
          <w:szCs w:val="32"/>
          <w:lang w:eastAsia="zh-CN"/>
        </w:rPr>
      </w:pPr>
      <w:r>
        <w:rPr>
          <w:rFonts w:hint="eastAsia" w:ascii="仿宋_GB2312" w:eastAsia="仿宋_GB2312"/>
          <w:sz w:val="32"/>
          <w:szCs w:val="32"/>
          <w:lang w:eastAsia="zh-CN"/>
        </w:rPr>
        <w:t>市委、市政府、省市场监督管理局：</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年，在市委市政府</w:t>
      </w:r>
      <w:r>
        <w:rPr>
          <w:rFonts w:hint="eastAsia" w:ascii="仿宋_GB2312" w:hAnsi="仿宋_GB2312" w:eastAsia="仿宋_GB2312" w:cs="仿宋_GB2312"/>
          <w:sz w:val="32"/>
          <w:szCs w:val="32"/>
          <w:lang w:eastAsia="zh-CN"/>
        </w:rPr>
        <w:t>、省市场监督管理局</w:t>
      </w:r>
      <w:r>
        <w:rPr>
          <w:rFonts w:hint="eastAsia" w:ascii="仿宋_GB2312" w:hAnsi="仿宋_GB2312" w:eastAsia="仿宋_GB2312" w:cs="仿宋_GB2312"/>
          <w:sz w:val="32"/>
          <w:szCs w:val="32"/>
        </w:rPr>
        <w:t>的正确领导下，</w:t>
      </w:r>
      <w:r>
        <w:rPr>
          <w:rFonts w:hint="eastAsia" w:ascii="仿宋_GB2312" w:hAnsi="仿宋_GB2312" w:eastAsia="仿宋_GB2312" w:cs="仿宋_GB2312"/>
          <w:sz w:val="32"/>
          <w:szCs w:val="32"/>
          <w:lang w:eastAsia="zh-CN"/>
        </w:rPr>
        <w:t>铁岭</w:t>
      </w:r>
      <w:r>
        <w:rPr>
          <w:rFonts w:hint="eastAsia" w:ascii="仿宋_GB2312" w:hAnsi="仿宋_GB2312" w:eastAsia="仿宋_GB2312" w:cs="仿宋_GB2312"/>
          <w:sz w:val="32"/>
          <w:szCs w:val="32"/>
        </w:rPr>
        <w:t>市市场监管局紧紧围绕《法治政府建设实施纲要（2021-2025年）》《</w:t>
      </w:r>
      <w:r>
        <w:rPr>
          <w:rFonts w:hint="eastAsia" w:ascii="仿宋_GB2312" w:hAnsi="仿宋_GB2312" w:eastAsia="仿宋_GB2312" w:cs="仿宋_GB2312"/>
          <w:sz w:val="32"/>
          <w:szCs w:val="32"/>
          <w:lang w:eastAsia="zh-CN"/>
        </w:rPr>
        <w:t>铁岭市</w:t>
      </w:r>
      <w:r>
        <w:rPr>
          <w:rFonts w:hint="eastAsia" w:ascii="仿宋_GB2312" w:hAnsi="仿宋_GB2312" w:eastAsia="仿宋_GB2312" w:cs="仿宋_GB2312"/>
          <w:sz w:val="32"/>
          <w:szCs w:val="32"/>
        </w:rPr>
        <w:t>人民政府202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年推进法治政府建设十项重点任务》，对照年度工作目标任务，狠抓法治建设，全面推进依法行政，为优化我市营商环境提供了良好的法治保障，现将有关情况报告如下：</w:t>
      </w:r>
    </w:p>
    <w:p>
      <w:pPr>
        <w:keepNext w:val="0"/>
        <w:keepLines w:val="0"/>
        <w:widowControl/>
        <w:suppressLineNumbers w:val="0"/>
        <w:ind w:firstLine="614" w:firstLineChars="200"/>
        <w:jc w:val="left"/>
        <w:rPr>
          <w:rFonts w:hint="eastAsia" w:ascii="黑体" w:hAnsi="黑体" w:eastAsia="黑体"/>
          <w:b/>
          <w:bCs/>
          <w:sz w:val="32"/>
          <w:szCs w:val="32"/>
        </w:rPr>
      </w:pPr>
      <w:r>
        <w:rPr>
          <w:rFonts w:hint="eastAsia" w:ascii="黑体" w:hAnsi="黑体" w:eastAsia="黑体"/>
          <w:b/>
          <w:bCs/>
          <w:sz w:val="32"/>
          <w:szCs w:val="32"/>
          <w:lang w:val="en-US" w:eastAsia="zh-CN"/>
        </w:rPr>
        <w:t>一、上一年度推进法治政府建设的主要举措和成效</w:t>
      </w:r>
    </w:p>
    <w:p>
      <w:pPr>
        <w:ind w:firstLine="630"/>
        <w:rPr>
          <w:rFonts w:hint="eastAsia" w:ascii="仿宋" w:hAnsi="仿宋" w:eastAsia="仿宋" w:cs="仿宋"/>
          <w:b/>
          <w:bCs/>
          <w:sz w:val="32"/>
          <w:szCs w:val="32"/>
        </w:rPr>
      </w:pPr>
      <w:r>
        <w:rPr>
          <w:rFonts w:hint="eastAsia" w:ascii="仿宋" w:hAnsi="仿宋" w:eastAsia="仿宋" w:cs="仿宋"/>
          <w:b/>
          <w:bCs/>
          <w:kern w:val="2"/>
          <w:sz w:val="32"/>
          <w:szCs w:val="32"/>
        </w:rPr>
        <w:t>（一）</w:t>
      </w:r>
      <w:r>
        <w:rPr>
          <w:rFonts w:hint="eastAsia" w:ascii="仿宋" w:hAnsi="仿宋" w:eastAsia="仿宋" w:cs="仿宋"/>
          <w:b/>
          <w:bCs/>
          <w:sz w:val="32"/>
          <w:szCs w:val="32"/>
        </w:rPr>
        <w:t>加强党的领导，全面落实法治建设职责</w:t>
      </w:r>
    </w:p>
    <w:p>
      <w:pPr>
        <w:ind w:firstLine="63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铁岭</w:t>
      </w:r>
      <w:r>
        <w:rPr>
          <w:rFonts w:hint="eastAsia" w:ascii="仿宋_GB2312" w:hAnsi="仿宋_GB2312" w:eastAsia="仿宋_GB2312" w:cs="仿宋_GB2312"/>
          <w:sz w:val="32"/>
          <w:szCs w:val="32"/>
        </w:rPr>
        <w:t>市市场监管局党组坚持以习近平新时代中国特色社会主义思想为指导，全面贯彻党的十九大和十九届二中、三中、四中、五中、六中全会精神，全面贯彻习近平法治思想，切实增强“四个意识”、坚定“四个自信”、做到“两个维护”。市局主要负责同志认真执行《党政主要负责人履行推进法治建设第一责任人职责规定》，自觉运用法治思维和法治方式深化改革、推动发展、化解矛盾、维护稳定。</w:t>
      </w:r>
      <w:r>
        <w:rPr>
          <w:rFonts w:hint="eastAsia" w:ascii="仿宋_GB2312" w:hAnsi="仿宋_GB2312" w:eastAsia="仿宋_GB2312" w:cs="仿宋_GB2312"/>
          <w:b/>
          <w:bCs/>
          <w:sz w:val="32"/>
          <w:szCs w:val="32"/>
        </w:rPr>
        <w:t>发挥示范作用，带头尊法学法。</w:t>
      </w:r>
      <w:r>
        <w:rPr>
          <w:rFonts w:hint="eastAsia" w:ascii="仿宋_GB2312" w:hAnsi="仿宋_GB2312" w:eastAsia="仿宋_GB2312" w:cs="仿宋_GB2312"/>
          <w:kern w:val="2"/>
          <w:sz w:val="32"/>
          <w:szCs w:val="32"/>
        </w:rPr>
        <w:t>市局党政领导班子成员特别是主要负责同志深入贯彻落实习近平总书记提出的“领导干部要做尊法学法守法用法的模范”讲话精神,以身作则,认真学习习近平法治思想内涵</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b w:val="0"/>
          <w:bCs w:val="0"/>
          <w:sz w:val="32"/>
          <w:szCs w:val="32"/>
          <w:lang w:val="en-US" w:eastAsia="zh-CN"/>
        </w:rPr>
        <w:t>切实提高依法行政能力，目前已举办25期《机关干部大讲堂》，组织综合执法队全员收看省局《行政处罚法》、新案件子系统视频培训，切实推进新法实施</w:t>
      </w:r>
      <w:r>
        <w:rPr>
          <w:rFonts w:hint="eastAsia" w:ascii="仿宋_GB2312" w:hAnsi="仿宋_GB2312" w:eastAsia="仿宋_GB2312" w:cs="仿宋_GB2312"/>
          <w:kern w:val="2"/>
          <w:sz w:val="32"/>
          <w:szCs w:val="32"/>
        </w:rPr>
        <w:t>。</w:t>
      </w:r>
      <w:r>
        <w:rPr>
          <w:rFonts w:hint="eastAsia" w:ascii="仿宋_GB2312" w:hAnsi="仿宋_GB2312" w:eastAsia="仿宋_GB2312" w:cs="仿宋_GB2312"/>
          <w:b/>
          <w:bCs/>
          <w:kern w:val="2"/>
          <w:sz w:val="32"/>
          <w:szCs w:val="32"/>
        </w:rPr>
        <w:t>坚持依法决策，模范守法用法。</w:t>
      </w:r>
      <w:r>
        <w:rPr>
          <w:rFonts w:hint="eastAsia" w:ascii="仿宋_GB2312" w:hAnsi="仿宋_GB2312" w:eastAsia="仿宋_GB2312" w:cs="仿宋_GB2312"/>
          <w:kern w:val="2"/>
          <w:sz w:val="32"/>
          <w:szCs w:val="32"/>
        </w:rPr>
        <w:t>市局党组充分发挥了党组统揽全局、协调各方的作用,把法治建设纳入了本单位发展总体规划和年度工作计划,严格执行重大行政决策法定程序，重大事项坚持集体讨论决策并落实请示报告制度。202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年无一起领导干部违规干预行政执法活动、插手具体案件处理的情形发生。</w:t>
      </w:r>
      <w:r>
        <w:rPr>
          <w:rFonts w:hint="eastAsia" w:ascii="仿宋_GB2312" w:hAnsi="仿宋_GB2312" w:eastAsia="仿宋_GB2312" w:cs="仿宋_GB2312"/>
          <w:b/>
          <w:bCs/>
          <w:kern w:val="2"/>
          <w:sz w:val="32"/>
          <w:szCs w:val="32"/>
        </w:rPr>
        <w:t>强化法治思维，自觉接受监督。</w:t>
      </w:r>
      <w:r>
        <w:rPr>
          <w:rFonts w:hint="eastAsia" w:ascii="仿宋_GB2312" w:hAnsi="仿宋_GB2312" w:eastAsia="仿宋_GB2312" w:cs="仿宋_GB2312"/>
          <w:kern w:val="2"/>
          <w:sz w:val="32"/>
          <w:szCs w:val="32"/>
        </w:rPr>
        <w:t>主要负责同志定期听取法治建设工作情况汇报,及时研究解决重大问题,对重点工作亲自部署、重点问题亲自过问、重点环节亲自督办。年初以来，我局行政应诉案件</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2021年以来</w:t>
      </w:r>
      <w:r>
        <w:rPr>
          <w:rFonts w:hint="eastAsia" w:ascii="仿宋_GB2312" w:hAnsi="仿宋_GB2312" w:eastAsia="仿宋_GB2312" w:cs="仿宋_GB2312"/>
          <w:kern w:val="2"/>
          <w:sz w:val="32"/>
          <w:szCs w:val="32"/>
        </w:rPr>
        <w:t>负责人全部按照规定出庭应诉，出庭应诉率100%。</w:t>
      </w:r>
    </w:p>
    <w:p>
      <w:pPr>
        <w:ind w:firstLine="63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）加强执法监督，规范市场监管执法行为</w:t>
      </w:r>
    </w:p>
    <w:p>
      <w:pPr>
        <w:pStyle w:val="9"/>
        <w:spacing w:beforeAutospacing="0" w:afterAutospacing="0"/>
        <w:ind w:firstLine="614"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kern w:val="2"/>
          <w:sz w:val="32"/>
          <w:szCs w:val="32"/>
        </w:rPr>
        <w:t>健全完善重大行政决策程序。</w:t>
      </w:r>
      <w:r>
        <w:rPr>
          <w:rFonts w:hint="eastAsia" w:ascii="仿宋_GB2312" w:hAnsi="仿宋_GB2312" w:eastAsia="仿宋_GB2312" w:cs="仿宋_GB2312"/>
          <w:kern w:val="2"/>
          <w:sz w:val="32"/>
          <w:szCs w:val="32"/>
        </w:rPr>
        <w:t>严格落实《辽宁省行政规范性文件合法性审核办法》，每项重大行政决策作出前，必进行合法性审查。每份规范性文件出台前，必到市司法局进行合法性审核。</w:t>
      </w:r>
    </w:p>
    <w:p>
      <w:pPr>
        <w:pStyle w:val="9"/>
        <w:spacing w:beforeAutospacing="0" w:afterAutospacing="0"/>
        <w:ind w:firstLine="614"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rPr>
        <w:t>2.</w:t>
      </w:r>
      <w:r>
        <w:rPr>
          <w:rFonts w:hint="eastAsia" w:ascii="仿宋_GB2312" w:hAnsi="仿宋_GB2312" w:eastAsia="仿宋_GB2312" w:cs="仿宋_GB2312"/>
          <w:b/>
          <w:bCs/>
          <w:kern w:val="2"/>
          <w:sz w:val="32"/>
          <w:szCs w:val="32"/>
        </w:rPr>
        <w:t>着力推进严格规范公正文明执法。</w:t>
      </w:r>
      <w:r>
        <w:rPr>
          <w:rFonts w:hint="eastAsia" w:ascii="仿宋" w:hAnsi="仿宋" w:eastAsia="仿宋" w:cs="仿宋_GB2312"/>
          <w:sz w:val="32"/>
          <w:szCs w:val="32"/>
        </w:rPr>
        <w:t>积极组织开展2022年辽宁省市场监督管理专项行政执法监督工作</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全面提升行政执法规范性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突出行政执法实效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严厉打击行政执法违法违规行为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强化行政执法典型案例宣传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提升行政执法满意度</w:t>
      </w:r>
      <w:r>
        <w:rPr>
          <w:rFonts w:hint="eastAsia" w:ascii="仿宋_GB2312" w:hAnsi="仿宋_GB2312" w:eastAsia="仿宋_GB2312" w:cs="仿宋_GB2312"/>
          <w:sz w:val="32"/>
          <w:szCs w:val="32"/>
          <w:lang w:eastAsia="zh-CN"/>
        </w:rPr>
        <w:t>、集中整治市场监督管理行政执法突出问题行动六方面着手，</w:t>
      </w:r>
      <w:r>
        <w:rPr>
          <w:rFonts w:hint="eastAsia" w:ascii="仿宋" w:hAnsi="仿宋" w:eastAsia="仿宋"/>
          <w:sz w:val="32"/>
          <w:szCs w:val="32"/>
        </w:rPr>
        <w:t>不断规范行政执法</w:t>
      </w:r>
      <w:r>
        <w:rPr>
          <w:rFonts w:hint="eastAsia" w:ascii="仿宋" w:hAnsi="仿宋" w:eastAsia="仿宋"/>
          <w:sz w:val="32"/>
          <w:szCs w:val="32"/>
          <w:lang w:eastAsia="zh-CN"/>
        </w:rPr>
        <w:t>行为。</w:t>
      </w:r>
      <w:r>
        <w:rPr>
          <w:rFonts w:hint="eastAsia" w:ascii="仿宋_GB2312" w:hAnsi="仿宋_GB2312" w:eastAsia="仿宋_GB2312" w:cs="仿宋_GB2312"/>
          <w:kern w:val="2"/>
          <w:sz w:val="32"/>
          <w:szCs w:val="32"/>
        </w:rPr>
        <w:t>截止目前，经法制审核的行政处罚案件</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件，全部</w:t>
      </w:r>
      <w:r>
        <w:rPr>
          <w:rFonts w:hint="eastAsia" w:ascii="仿宋_GB2312" w:hAnsi="仿宋_GB2312" w:eastAsia="仿宋_GB2312" w:cs="仿宋_GB2312"/>
          <w:kern w:val="2"/>
          <w:sz w:val="32"/>
          <w:szCs w:val="32"/>
          <w:lang w:eastAsia="zh-CN"/>
        </w:rPr>
        <w:t>执行省市场监督管理局</w:t>
      </w:r>
      <w:r>
        <w:rPr>
          <w:rFonts w:hint="eastAsia" w:ascii="仿宋_GB2312" w:hAnsi="仿宋_GB2312" w:eastAsia="仿宋_GB2312" w:cs="仿宋_GB2312"/>
          <w:kern w:val="2"/>
          <w:sz w:val="32"/>
          <w:szCs w:val="32"/>
        </w:rPr>
        <w:t>自由裁量权规定办理。积极探索包容审慎监管，认真落实《辽宁省市场监管领域轻微违法行为不予处罚实施办法》，对新产业新业态提供更加宽容的法治保障。</w:t>
      </w:r>
    </w:p>
    <w:p>
      <w:pPr>
        <w:ind w:firstLine="63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）强化市场环境建设，不断规范市场秩序</w:t>
      </w:r>
    </w:p>
    <w:p>
      <w:pPr>
        <w:pStyle w:val="8"/>
        <w:keepNext w:val="0"/>
        <w:keepLines w:val="0"/>
        <w:widowControl/>
        <w:suppressLineNumbers w:val="0"/>
        <w:shd w:val="clear" w:fill="FFFFFF"/>
        <w:wordWrap/>
        <w:spacing w:before="0" w:beforeAutospacing="0" w:after="0" w:afterAutospacing="0"/>
        <w:ind w:left="0" w:right="0" w:firstLine="614" w:firstLineChars="200"/>
        <w:jc w:val="left"/>
        <w:rPr>
          <w:rFonts w:hint="eastAsia" w:ascii="仿宋_GB2312" w:hAnsi="黑体" w:eastAsia="仿宋_GB2312" w:cs="仿宋_GB2312"/>
          <w:kern w:val="0"/>
          <w:sz w:val="32"/>
          <w:szCs w:val="32"/>
          <w:lang w:val="en-US" w:eastAsia="zh-CN" w:bidi="ar"/>
        </w:rPr>
      </w:pPr>
      <w:r>
        <w:rPr>
          <w:rFonts w:hint="eastAsia" w:ascii="仿宋_GB2312" w:hAnsi="黑体" w:eastAsia="仿宋_GB2312" w:cs="仿宋_GB2312"/>
          <w:kern w:val="0"/>
          <w:sz w:val="32"/>
          <w:szCs w:val="32"/>
          <w:lang w:val="en-US" w:eastAsia="zh-CN" w:bidi="ar"/>
        </w:rPr>
        <w:t>1.优化政务服务环境。一是优化准入准营退出。将部分市本级企业登记事权下放至各市辖区，方便申请人就近办理营业执照。牵头推进“证照分离”改革全覆盖，梳理优化审批事项109项、创新目标4项，形成全市涉企经营许可事项清单151项。优化简易注销办理，1586户市场主体受益。二是加强公平竞争审查。充分发挥市公平竞争审查联席会议办公室作用，建立了公平竞争审查联席会议集体会审制度，开展“净源”专项执法行动，</w:t>
      </w:r>
      <w:bookmarkStart w:id="0" w:name="_Hlk118368439"/>
      <w:r>
        <w:rPr>
          <w:rFonts w:hint="eastAsia" w:ascii="仿宋_GB2312" w:hAnsi="黑体" w:eastAsia="仿宋_GB2312" w:cs="仿宋_GB2312"/>
          <w:kern w:val="0"/>
          <w:sz w:val="32"/>
          <w:szCs w:val="32"/>
          <w:lang w:val="en-US" w:eastAsia="zh-CN" w:bidi="ar"/>
        </w:rPr>
        <w:t>排查政策措施文件68份，废止18份。</w:t>
      </w:r>
      <w:bookmarkEnd w:id="0"/>
    </w:p>
    <w:p>
      <w:pPr>
        <w:pStyle w:val="8"/>
        <w:keepNext w:val="0"/>
        <w:keepLines w:val="0"/>
        <w:widowControl/>
        <w:suppressLineNumbers w:val="0"/>
        <w:shd w:val="clear" w:fill="FFFFFF"/>
        <w:wordWrap/>
        <w:spacing w:before="0" w:beforeAutospacing="0" w:after="0" w:afterAutospacing="0"/>
        <w:ind w:left="0" w:right="0" w:firstLine="614" w:firstLineChars="200"/>
        <w:jc w:val="left"/>
        <w:rPr>
          <w:rFonts w:hint="eastAsia" w:ascii="仿宋_GB2312" w:hAnsi="黑体" w:eastAsia="仿宋_GB2312" w:cs="仿宋_GB2312"/>
          <w:kern w:val="0"/>
          <w:sz w:val="32"/>
          <w:szCs w:val="32"/>
          <w:lang w:val="en-US" w:eastAsia="zh-CN" w:bidi="ar"/>
        </w:rPr>
      </w:pPr>
      <w:r>
        <w:rPr>
          <w:rFonts w:hint="eastAsia" w:ascii="仿宋_GB2312" w:hAnsi="黑体" w:eastAsia="仿宋_GB2312" w:cs="仿宋_GB2312"/>
          <w:kern w:val="0"/>
          <w:sz w:val="32"/>
          <w:szCs w:val="32"/>
          <w:lang w:val="en-US" w:eastAsia="zh-CN" w:bidi="ar"/>
        </w:rPr>
        <w:t>2.安全底线保障有力。一是抓食品安全。成立我市落实食品安全“两个责任”工作领导小组，逐级推进属地管理责任和主体责任落实。深入开展“守底线、查隐患、保安全”专项行动，发现隐患问题7996个，处置7938个，处置率99.2%。小作坊规范化管理改造率达到44%，996家特殊食品经营单位作出诚信自律承诺，规模以上餐饮服务单位“互联网+明厨亮灶”覆盖率达到55%。二是抓药品安全。组建全市集中打击整治危害药品安全违法犯罪工作领导小组，逐级建立工作机制。检查药品和医疗器械经营（使用）企业4674家次、抽检301批次。督促企业做好重点品种追溯体系建设，62家零售药店全部加入血液制品追溯平台。三是抓特种设备安全。开展“1+5”专项行动，排查安全隐患164项，下达监察指令书94份，立案13起，罚款38.4万。液化石油气钢瓶纳入智能充装追溯管理，在用电梯100%参保电梯安全责任险。593.78公里燃气公用管道现场检验完毕。四是抓重要工业产品质量安全。开展危险品安全风险集中治理等8个专项行动，发现并整改问题隐患9个。抽检产品500批次，目前在检测中，尚未发现不合格产品。</w:t>
      </w:r>
    </w:p>
    <w:p>
      <w:pPr>
        <w:ind w:firstLine="614" w:firstLineChars="200"/>
        <w:contextualSpacing/>
        <w:rPr>
          <w:rFonts w:ascii="仿宋_GB2312" w:hAnsi="黑体" w:eastAsia="仿宋_GB2312"/>
          <w:kern w:val="0"/>
          <w:sz w:val="32"/>
          <w:szCs w:val="32"/>
        </w:rPr>
      </w:pPr>
      <w:r>
        <w:rPr>
          <w:rFonts w:hint="eastAsia" w:ascii="仿宋_GB2312" w:hAnsi="仿宋_GB2312" w:eastAsia="仿宋_GB2312" w:cs="仿宋_GB2312"/>
          <w:b/>
          <w:bCs/>
          <w:sz w:val="32"/>
          <w:lang w:val="en-US" w:eastAsia="zh-CN"/>
        </w:rPr>
        <w:t>3.</w:t>
      </w:r>
      <w:r>
        <w:rPr>
          <w:rFonts w:hint="eastAsia" w:ascii="仿宋_GB2312" w:hAnsi="仿宋_GB2312" w:eastAsia="仿宋_GB2312" w:cs="仿宋_GB2312"/>
          <w:b/>
          <w:bCs/>
          <w:sz w:val="32"/>
        </w:rPr>
        <w:t>严格落实常态化疫情防控举措。</w:t>
      </w:r>
      <w:r>
        <w:rPr>
          <w:rFonts w:hint="eastAsia" w:ascii="仿宋_GB2312" w:hAnsi="仿宋_GB2312" w:eastAsia="仿宋_GB2312" w:cs="仿宋_GB2312"/>
          <w:sz w:val="32"/>
          <w:szCs w:val="32"/>
          <w:lang w:bidi="ar"/>
        </w:rPr>
        <w:t>严格管控进口冷链食品，首站定点冷库实行市级监管，食品经营类冷库全部实行“双重管理”。严格落实药品防控举措，累计报送“一退两抗”药品登记信息</w:t>
      </w:r>
      <w:r>
        <w:rPr>
          <w:rFonts w:hint="eastAsia" w:ascii="仿宋_GB2312" w:hAnsi="仿宋_GB2312" w:eastAsia="仿宋_GB2312" w:cs="仿宋_GB2312"/>
          <w:sz w:val="32"/>
          <w:szCs w:val="32"/>
          <w:lang w:val="en-US" w:eastAsia="zh-CN" w:bidi="ar"/>
        </w:rPr>
        <w:t>4284631</w:t>
      </w:r>
      <w:r>
        <w:rPr>
          <w:rFonts w:ascii="仿宋_GB2312" w:hAnsi="仿宋_GB2312" w:eastAsia="仿宋_GB2312" w:cs="仿宋_GB2312"/>
          <w:sz w:val="32"/>
          <w:szCs w:val="32"/>
          <w:lang w:bidi="ar"/>
        </w:rPr>
        <w:t>条。</w:t>
      </w:r>
      <w:r>
        <w:rPr>
          <w:rFonts w:hint="eastAsia" w:ascii="仿宋_GB2312" w:hAnsi="黑体" w:eastAsia="仿宋_GB2312"/>
          <w:kern w:val="0"/>
          <w:sz w:val="32"/>
          <w:szCs w:val="32"/>
        </w:rPr>
        <w:t>切实发挥零售药店“前哨”作用，为全市疫情防控工作提供了支撑和保障。</w:t>
      </w:r>
    </w:p>
    <w:p>
      <w:pPr>
        <w:ind w:firstLine="63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完善事中事后监管，强化对监管工作的监督</w:t>
      </w:r>
    </w:p>
    <w:p>
      <w:pPr>
        <w:widowControl/>
        <w:ind w:firstLine="61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加强和创新“双随机、一公开”等监管方式，依托国家政务服务平台建设“互联网+监管”系统，实现对监管的“监管”。</w:t>
      </w:r>
    </w:p>
    <w:p>
      <w:pPr>
        <w:widowControl/>
        <w:ind w:firstLine="614" w:firstLineChars="200"/>
        <w:jc w:val="left"/>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rPr>
        <w:t>推动“双随机、一公开”监管。</w:t>
      </w:r>
      <w:r>
        <w:rPr>
          <w:rFonts w:hint="eastAsia" w:ascii="仿宋_GB2312" w:hAnsi="仿宋_GB2312" w:eastAsia="仿宋_GB2312" w:cs="仿宋_GB2312"/>
          <w:sz w:val="32"/>
          <w:szCs w:val="32"/>
          <w:lang w:eastAsia="zh-CN"/>
        </w:rPr>
        <w:t>充分发挥</w:t>
      </w:r>
      <w:r>
        <w:rPr>
          <w:rFonts w:hint="eastAsia" w:ascii="仿宋_GB2312" w:hAnsi="仿宋_GB2312" w:eastAsia="仿宋_GB2312" w:cs="仿宋_GB2312"/>
          <w:sz w:val="32"/>
          <w:szCs w:val="32"/>
          <w:lang w:bidi="ar"/>
        </w:rPr>
        <w:t>牵头</w:t>
      </w:r>
      <w:r>
        <w:rPr>
          <w:rFonts w:hint="eastAsia" w:ascii="仿宋_GB2312" w:hAnsi="仿宋_GB2312" w:eastAsia="仿宋_GB2312" w:cs="仿宋_GB2312"/>
          <w:sz w:val="32"/>
          <w:szCs w:val="32"/>
          <w:lang w:eastAsia="zh-CN" w:bidi="ar"/>
        </w:rPr>
        <w:t>协调作用</w:t>
      </w:r>
      <w:r>
        <w:rPr>
          <w:rFonts w:hint="eastAsia" w:ascii="仿宋_GB2312" w:hAnsi="仿宋_GB2312" w:eastAsia="仿宋_GB2312" w:cs="仿宋_GB2312"/>
          <w:sz w:val="32"/>
          <w:szCs w:val="32"/>
          <w:lang w:bidi="ar"/>
        </w:rPr>
        <w:t>，推动“双随机、一公开”监管深入开展，依托辽宁省“互联网+监管”系统组织各地区、各部门填报年度检查计划，全市填报各类检查计划517个。助力企业健康发展，对符合信用修复条件的快速办理，办理移出异常名录企业175户，信用修复严重违法失信企业9户，有效促进我市企业健康良好发展</w:t>
      </w:r>
      <w:r>
        <w:rPr>
          <w:rFonts w:hint="eastAsia" w:ascii="仿宋_GB2312" w:hAnsi="仿宋_GB2312" w:eastAsia="仿宋_GB2312" w:cs="仿宋_GB2312"/>
          <w:sz w:val="32"/>
          <w:szCs w:val="32"/>
          <w:lang w:eastAsia="zh-CN" w:bidi="ar"/>
        </w:rPr>
        <w:t>。</w:t>
      </w:r>
    </w:p>
    <w:p>
      <w:pPr>
        <w:adjustRightInd w:val="0"/>
        <w:snapToGrid w:val="0"/>
        <w:spacing w:line="560" w:lineRule="exac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rPr>
        <w:t>推动“互联网+监管”。</w:t>
      </w:r>
      <w:r>
        <w:rPr>
          <w:rFonts w:hint="eastAsia" w:ascii="仿宋_GB2312" w:hAnsi="仿宋_GB2312" w:eastAsia="仿宋_GB2312" w:cs="仿宋_GB2312"/>
          <w:sz w:val="32"/>
          <w:szCs w:val="32"/>
        </w:rPr>
        <w:t>强化监管信息归集公示共享，进一步夯实监管大数据，全市归集公示各类监管信息200826条，归集部门覆盖率达到97%。强化重点领域监管。加大重要民生商品市场价格监测监管力度，加强交通物流、水电气暖等八大领域涉企收费监管，开展了整治违法广告、落实网络交易平台主体责任、规范合同格式条款等专项行动。今年全系统</w:t>
      </w:r>
      <w:r>
        <w:rPr>
          <w:rFonts w:hint="eastAsia" w:ascii="仿宋_GB2312" w:hAnsi="仿宋_GB2312" w:eastAsia="仿宋_GB2312" w:cs="仿宋_GB2312"/>
          <w:sz w:val="32"/>
          <w:szCs w:val="32"/>
          <w:lang w:eastAsia="zh-CN"/>
        </w:rPr>
        <w:t>加大行政执法力度，</w:t>
      </w:r>
      <w:r>
        <w:rPr>
          <w:rFonts w:hint="eastAsia" w:ascii="仿宋_GB2312" w:hAnsi="仿宋_GB2312" w:eastAsia="仿宋_GB2312" w:cs="仿宋_GB2312"/>
          <w:sz w:val="32"/>
          <w:szCs w:val="32"/>
        </w:rPr>
        <w:t>办理各类案件</w:t>
      </w:r>
      <w:r>
        <w:rPr>
          <w:rFonts w:hint="eastAsia" w:ascii="仿宋_GB2312" w:hAnsi="仿宋_GB2312" w:eastAsia="仿宋_GB2312" w:cs="仿宋_GB2312"/>
          <w:sz w:val="32"/>
          <w:szCs w:val="32"/>
          <w:lang w:val="en-US" w:eastAsia="zh-CN"/>
        </w:rPr>
        <w:t>1135</w:t>
      </w:r>
      <w:r>
        <w:rPr>
          <w:rFonts w:hint="eastAsia" w:ascii="仿宋_GB2312" w:hAnsi="仿宋_GB2312" w:eastAsia="仿宋_GB2312" w:cs="仿宋_GB2312"/>
          <w:sz w:val="32"/>
          <w:szCs w:val="32"/>
        </w:rPr>
        <w:t>件。处理投诉举报</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rPr>
        <w:t>余件，为消费者挽回损失近100万元。</w:t>
      </w:r>
    </w:p>
    <w:p>
      <w:pPr>
        <w:ind w:firstLine="614" w:firstLineChars="200"/>
        <w:rPr>
          <w:rFonts w:hint="eastAsia" w:ascii="黑体" w:hAnsi="黑体" w:eastAsia="黑体"/>
          <w:b/>
          <w:bCs/>
          <w:sz w:val="32"/>
          <w:szCs w:val="32"/>
          <w:lang w:eastAsia="zh-CN"/>
        </w:rPr>
      </w:pPr>
      <w:r>
        <w:rPr>
          <w:rFonts w:hint="eastAsia" w:ascii="黑体" w:hAnsi="黑体" w:eastAsia="黑体"/>
          <w:b/>
          <w:bCs/>
          <w:sz w:val="32"/>
          <w:szCs w:val="32"/>
          <w:lang w:eastAsia="zh-CN"/>
        </w:rPr>
        <w:t>二</w:t>
      </w:r>
      <w:r>
        <w:rPr>
          <w:rFonts w:hint="eastAsia" w:ascii="黑体" w:hAnsi="黑体" w:eastAsia="黑体"/>
          <w:b/>
          <w:bCs/>
          <w:sz w:val="32"/>
          <w:szCs w:val="32"/>
        </w:rPr>
        <w:t>、</w:t>
      </w:r>
      <w:r>
        <w:rPr>
          <w:rFonts w:hint="eastAsia" w:ascii="黑体" w:hAnsi="黑体" w:eastAsia="黑体"/>
          <w:b/>
          <w:bCs/>
          <w:sz w:val="32"/>
          <w:szCs w:val="32"/>
          <w:lang w:eastAsia="zh-CN"/>
        </w:rPr>
        <w:t>存在问题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4"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w:t>
      </w:r>
      <w:r>
        <w:rPr>
          <w:rFonts w:hint="default" w:ascii="仿宋_GB2312" w:hAnsi="仿宋_GB2312" w:eastAsia="仿宋_GB2312" w:cs="仿宋_GB2312"/>
          <w:b/>
          <w:bCs/>
          <w:kern w:val="2"/>
          <w:sz w:val="32"/>
          <w:szCs w:val="32"/>
          <w:lang w:val="en-US" w:eastAsia="zh-CN" w:bidi="ar-SA"/>
        </w:rPr>
        <w:t>依法执政能力还有待进一步提高</w:t>
      </w:r>
      <w:r>
        <w:rPr>
          <w:rFonts w:hint="eastAsia" w:ascii="仿宋_GB2312" w:hAnsi="仿宋_GB2312" w:eastAsia="仿宋_GB2312" w:cs="仿宋_GB2312"/>
          <w:b/>
          <w:bCs/>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行政法规培训力度不够，对法律法规政策的把握能力还需加强</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当前执法队伍在机构改革和职能整合后面临人员知识结构分散、年龄层次偏老、梯队建设不济等问题，市场监管综合执法能力亟待提升，年轻执法干部亟待磨练和培养。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4" w:firstLineChars="200"/>
        <w:rPr>
          <w:rFonts w:hint="eastAsia" w:ascii="黑体" w:hAnsi="黑体" w:eastAsia="黑体"/>
          <w:sz w:val="32"/>
          <w:szCs w:val="32"/>
          <w:lang w:eastAsia="zh-CN"/>
        </w:rPr>
      </w:pPr>
      <w:r>
        <w:rPr>
          <w:rFonts w:hint="eastAsia" w:ascii="仿宋_GB2312" w:hAnsi="仿宋_GB2312" w:eastAsia="仿宋_GB2312" w:cs="仿宋_GB2312"/>
          <w:b/>
          <w:bCs/>
          <w:kern w:val="2"/>
          <w:sz w:val="32"/>
          <w:szCs w:val="32"/>
          <w:lang w:val="en-US" w:eastAsia="zh-CN" w:bidi="ar-SA"/>
        </w:rPr>
        <w:t>（二）</w:t>
      </w:r>
      <w:bookmarkStart w:id="1" w:name="_GoBack"/>
      <w:bookmarkEnd w:id="1"/>
      <w:r>
        <w:rPr>
          <w:rFonts w:hint="eastAsia" w:ascii="仿宋_GB2312" w:hAnsi="仿宋_GB2312" w:eastAsia="仿宋_GB2312" w:cs="仿宋_GB2312"/>
          <w:b/>
          <w:bCs/>
          <w:kern w:val="2"/>
          <w:sz w:val="32"/>
          <w:szCs w:val="32"/>
          <w:lang w:val="en-US" w:eastAsia="zh-CN" w:bidi="ar-SA"/>
        </w:rPr>
        <w:t>安全监管职责落实还不到位。</w:t>
      </w:r>
      <w:r>
        <w:rPr>
          <w:rFonts w:hint="eastAsia" w:ascii="仿宋_GB2312" w:hAnsi="仿宋_GB2312" w:eastAsia="仿宋_GB2312" w:cs="仿宋_GB2312"/>
          <w:kern w:val="2"/>
          <w:sz w:val="32"/>
          <w:szCs w:val="32"/>
          <w:lang w:val="en-US" w:eastAsia="zh-CN" w:bidi="ar-SA"/>
        </w:rPr>
        <w:t>一是安全底线意识还需要加强，企业主体责任需要进一步夯实，隐患排查质量需要进一步提高，“管行业必须管安全”的职责落实还不到位。二是专业技术人才短缺，食品药品、特种设备等专业领域人才普遍缺乏，风险管控的措施和办法还不多，容易产生执法风险和隐患。</w:t>
      </w:r>
    </w:p>
    <w:p>
      <w:pPr>
        <w:widowControl/>
        <w:ind w:firstLine="614" w:firstLineChars="200"/>
        <w:jc w:val="left"/>
        <w:rPr>
          <w:rFonts w:hint="default" w:ascii="Microsoft YaHei" w:hAnsi="Microsoft YaHei" w:eastAsia="Microsoft YaHei" w:cs="Microsoft YaHei"/>
          <w:b/>
          <w:bCs/>
          <w:i w:val="0"/>
          <w:caps w:val="0"/>
          <w:color w:val="666666"/>
          <w:spacing w:val="0"/>
          <w:sz w:val="32"/>
          <w:szCs w:val="32"/>
        </w:rPr>
      </w:pPr>
      <w:r>
        <w:rPr>
          <w:rFonts w:hint="eastAsia" w:ascii="黑体" w:hAnsi="黑体" w:eastAsia="黑体"/>
          <w:b/>
          <w:bCs/>
          <w:sz w:val="32"/>
          <w:szCs w:val="32"/>
          <w:lang w:eastAsia="zh-CN"/>
        </w:rPr>
        <w:t>三</w:t>
      </w:r>
      <w:r>
        <w:rPr>
          <w:rFonts w:hint="eastAsia" w:ascii="黑体" w:hAnsi="黑体" w:eastAsia="黑体"/>
          <w:b/>
          <w:bCs/>
          <w:sz w:val="32"/>
          <w:szCs w:val="32"/>
        </w:rPr>
        <w:t>、2023年工作安排</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市市场监管局将以习近平新时代中国特色社会主义思想为指导，深入学习贯彻党的二十大精神，坚持“讲政治、强监管、促发展、保安全”，全面落实“统一大市场”建设任务，深化质量强市和知识产权强市战略，统筹推进法治监管、信用监管、智慧监管，牢牢守住食品、药品、工业产品和特种设备安全底线，以高效能市场监管服务经济社会高质量发展。深入学习贯彻习近平法治思想，进一步提高政治站位，强化责任担当，认真落实党中央、国务院，省市关于法治政府建设的决策部署，加强组织领导、健全工作机制，积极推进全局依法行政工作迈上新台阶。</w:t>
      </w:r>
    </w:p>
    <w:p>
      <w:pPr>
        <w:ind w:firstLine="630"/>
        <w:rPr>
          <w:rFonts w:hint="eastAsia" w:ascii="仿宋_GB2312" w:hAnsi="仿宋_GB2312" w:eastAsia="仿宋_GB2312" w:cs="仿宋_GB2312"/>
          <w:sz w:val="32"/>
          <w:szCs w:val="32"/>
          <w:lang w:eastAsia="zh-CN"/>
        </w:rPr>
      </w:pPr>
    </w:p>
    <w:p>
      <w:pPr>
        <w:ind w:firstLine="4605"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铁岭市</w:t>
      </w:r>
      <w:r>
        <w:rPr>
          <w:rFonts w:hint="eastAsia" w:ascii="仿宋_GB2312" w:hAnsi="仿宋_GB2312" w:eastAsia="仿宋_GB2312" w:cs="仿宋_GB2312"/>
          <w:sz w:val="32"/>
          <w:szCs w:val="32"/>
        </w:rPr>
        <w:t>市场监督管理局</w:t>
      </w:r>
    </w:p>
    <w:p>
      <w:pPr>
        <w:ind w:firstLine="4912" w:firstLineChars="1600"/>
      </w:pPr>
      <w:r>
        <w:rPr>
          <w:rFonts w:hint="eastAsia" w:ascii="仿宋_GB2312" w:hAnsi="仿宋_GB2312" w:eastAsia="仿宋_GB2312" w:cs="仿宋_GB2312"/>
          <w:sz w:val="32"/>
          <w:szCs w:val="32"/>
        </w:rPr>
        <w:t>2022年1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
      <w:pPr>
        <w:widowControl/>
        <w:textAlignment w:val="baseline"/>
        <w:rPr>
          <w:rFonts w:ascii="仿宋_GB2312" w:hAnsi="Calibri" w:eastAsia="仿宋_GB2312"/>
          <w:sz w:val="32"/>
          <w:szCs w:val="32"/>
        </w:rPr>
      </w:pPr>
    </w:p>
    <w:p>
      <w:pPr>
        <w:widowControl/>
        <w:textAlignment w:val="baseline"/>
        <w:rPr>
          <w:rFonts w:ascii="仿宋_GB2312" w:hAnsi="Calibri" w:eastAsia="仿宋_GB2312"/>
          <w:sz w:val="32"/>
          <w:szCs w:val="32"/>
        </w:rPr>
      </w:pPr>
    </w:p>
    <w:p>
      <w:pPr>
        <w:widowControl/>
        <w:textAlignment w:val="baseline"/>
        <w:rPr>
          <w:rFonts w:ascii="仿宋_GB2312" w:hAnsi="Calibri" w:eastAsia="仿宋_GB2312"/>
          <w:sz w:val="32"/>
          <w:szCs w:val="32"/>
        </w:rPr>
      </w:pPr>
    </w:p>
    <w:p>
      <w:pPr>
        <w:widowControl/>
        <w:textAlignment w:val="baseline"/>
        <w:rPr>
          <w:rFonts w:ascii="仿宋_GB2312" w:hAnsi="Calibri" w:eastAsia="仿宋_GB2312"/>
          <w:sz w:val="32"/>
          <w:szCs w:val="32"/>
        </w:rPr>
      </w:pPr>
    </w:p>
    <w:p>
      <w:pPr>
        <w:spacing w:line="560" w:lineRule="exact"/>
        <w:ind w:firstLine="2955" w:firstLineChars="1500"/>
        <w:rPr>
          <w:rFonts w:ascii="仿宋_GB2312"/>
          <w:szCs w:val="32"/>
        </w:rPr>
      </w:pPr>
    </w:p>
    <w:p>
      <w:pPr>
        <w:spacing w:line="560" w:lineRule="exact"/>
        <w:ind w:firstLine="2955" w:firstLineChars="1500"/>
        <w:rPr>
          <w:rFonts w:ascii="仿宋_GB2312"/>
          <w:szCs w:val="32"/>
        </w:rPr>
      </w:pPr>
    </w:p>
    <w:p>
      <w:pPr>
        <w:spacing w:line="560" w:lineRule="exact"/>
        <w:ind w:firstLine="2955" w:firstLineChars="1500"/>
        <w:rPr>
          <w:rFonts w:ascii="仿宋_GB2312"/>
          <w:szCs w:val="32"/>
        </w:rPr>
      </w:pPr>
    </w:p>
    <w:p>
      <w:pPr>
        <w:spacing w:line="560" w:lineRule="exact"/>
        <w:ind w:firstLine="2955" w:firstLineChars="1500"/>
        <w:rPr>
          <w:rFonts w:ascii="仿宋_GB2312"/>
          <w:szCs w:val="32"/>
        </w:rPr>
      </w:pPr>
    </w:p>
    <w:p>
      <w:pPr>
        <w:ind w:right="55"/>
        <w:rPr>
          <w:rFonts w:ascii="仿宋_GB2312"/>
          <w:szCs w:val="32"/>
        </w:rPr>
      </w:pPr>
    </w:p>
    <w:sectPr>
      <w:footerReference r:id="rId3" w:type="default"/>
      <w:pgSz w:w="11906" w:h="16838"/>
      <w:pgMar w:top="2098" w:right="1474" w:bottom="851" w:left="1588" w:header="851" w:footer="680" w:gutter="0"/>
      <w:cols w:space="425" w:num="1"/>
      <w:docGrid w:type="linesAndChars" w:linePitch="579"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HorizontalSpacing w:val="197"/>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7D"/>
    <w:rsid w:val="00001607"/>
    <w:rsid w:val="000440F2"/>
    <w:rsid w:val="00045013"/>
    <w:rsid w:val="00055F24"/>
    <w:rsid w:val="00097E9E"/>
    <w:rsid w:val="000A648C"/>
    <w:rsid w:val="000E4EA4"/>
    <w:rsid w:val="000E6D3C"/>
    <w:rsid w:val="00100C53"/>
    <w:rsid w:val="00126529"/>
    <w:rsid w:val="001806FD"/>
    <w:rsid w:val="001C42C2"/>
    <w:rsid w:val="001C4953"/>
    <w:rsid w:val="001D2FD3"/>
    <w:rsid w:val="001D7CFD"/>
    <w:rsid w:val="001F33FF"/>
    <w:rsid w:val="00201701"/>
    <w:rsid w:val="00257D7C"/>
    <w:rsid w:val="002761FA"/>
    <w:rsid w:val="002B2BBF"/>
    <w:rsid w:val="002D08FE"/>
    <w:rsid w:val="002D0E43"/>
    <w:rsid w:val="002E1C70"/>
    <w:rsid w:val="00327A48"/>
    <w:rsid w:val="00357605"/>
    <w:rsid w:val="0036093A"/>
    <w:rsid w:val="00365434"/>
    <w:rsid w:val="00382EB7"/>
    <w:rsid w:val="003B5B24"/>
    <w:rsid w:val="0040659E"/>
    <w:rsid w:val="004145AB"/>
    <w:rsid w:val="00425E45"/>
    <w:rsid w:val="004452E3"/>
    <w:rsid w:val="00484A48"/>
    <w:rsid w:val="00493A9B"/>
    <w:rsid w:val="004C0D72"/>
    <w:rsid w:val="004F4CC5"/>
    <w:rsid w:val="00527D5F"/>
    <w:rsid w:val="005379CC"/>
    <w:rsid w:val="00537A65"/>
    <w:rsid w:val="005A494A"/>
    <w:rsid w:val="005B1374"/>
    <w:rsid w:val="005D7AC7"/>
    <w:rsid w:val="005E4274"/>
    <w:rsid w:val="005F344D"/>
    <w:rsid w:val="006220F8"/>
    <w:rsid w:val="00625754"/>
    <w:rsid w:val="00633212"/>
    <w:rsid w:val="0065422F"/>
    <w:rsid w:val="00654316"/>
    <w:rsid w:val="006667EA"/>
    <w:rsid w:val="00681452"/>
    <w:rsid w:val="00690C7D"/>
    <w:rsid w:val="00693465"/>
    <w:rsid w:val="006B2B2D"/>
    <w:rsid w:val="006B509A"/>
    <w:rsid w:val="006D2C4C"/>
    <w:rsid w:val="00705BE7"/>
    <w:rsid w:val="00711FFB"/>
    <w:rsid w:val="0072050E"/>
    <w:rsid w:val="00761020"/>
    <w:rsid w:val="00770E71"/>
    <w:rsid w:val="007807E8"/>
    <w:rsid w:val="007B330E"/>
    <w:rsid w:val="007D4325"/>
    <w:rsid w:val="007E1A91"/>
    <w:rsid w:val="007F3F9E"/>
    <w:rsid w:val="007F4F29"/>
    <w:rsid w:val="00806D7E"/>
    <w:rsid w:val="00817543"/>
    <w:rsid w:val="00857987"/>
    <w:rsid w:val="00871A5E"/>
    <w:rsid w:val="0089320A"/>
    <w:rsid w:val="008D44A2"/>
    <w:rsid w:val="00960A82"/>
    <w:rsid w:val="00963D7B"/>
    <w:rsid w:val="009B4F22"/>
    <w:rsid w:val="009B5A5C"/>
    <w:rsid w:val="009E3B69"/>
    <w:rsid w:val="00A2177F"/>
    <w:rsid w:val="00A23AE4"/>
    <w:rsid w:val="00A345DE"/>
    <w:rsid w:val="00A746B7"/>
    <w:rsid w:val="00AC4BA4"/>
    <w:rsid w:val="00AC70E8"/>
    <w:rsid w:val="00AF745D"/>
    <w:rsid w:val="00B174C9"/>
    <w:rsid w:val="00B366D2"/>
    <w:rsid w:val="00B752F6"/>
    <w:rsid w:val="00B76E34"/>
    <w:rsid w:val="00BA3EF2"/>
    <w:rsid w:val="00BA493A"/>
    <w:rsid w:val="00BC39AE"/>
    <w:rsid w:val="00BD38A3"/>
    <w:rsid w:val="00C01DBB"/>
    <w:rsid w:val="00C048B9"/>
    <w:rsid w:val="00C04FDF"/>
    <w:rsid w:val="00C07250"/>
    <w:rsid w:val="00C4591A"/>
    <w:rsid w:val="00CA5451"/>
    <w:rsid w:val="00CB37C7"/>
    <w:rsid w:val="00CB784C"/>
    <w:rsid w:val="00CD0E35"/>
    <w:rsid w:val="00CF3D19"/>
    <w:rsid w:val="00CF5471"/>
    <w:rsid w:val="00D134F4"/>
    <w:rsid w:val="00D34A3F"/>
    <w:rsid w:val="00D440D9"/>
    <w:rsid w:val="00D45FEF"/>
    <w:rsid w:val="00D52AFF"/>
    <w:rsid w:val="00D85777"/>
    <w:rsid w:val="00DC0A7F"/>
    <w:rsid w:val="00DC216A"/>
    <w:rsid w:val="00DC5F3E"/>
    <w:rsid w:val="00DD353F"/>
    <w:rsid w:val="00DF0976"/>
    <w:rsid w:val="00E078B3"/>
    <w:rsid w:val="00E14ED8"/>
    <w:rsid w:val="00E245CC"/>
    <w:rsid w:val="00E54D12"/>
    <w:rsid w:val="00E76208"/>
    <w:rsid w:val="00EA454D"/>
    <w:rsid w:val="00EB2727"/>
    <w:rsid w:val="00EE2BBF"/>
    <w:rsid w:val="00F011A7"/>
    <w:rsid w:val="00F441A7"/>
    <w:rsid w:val="00F56E72"/>
    <w:rsid w:val="00F6011C"/>
    <w:rsid w:val="00FA3568"/>
    <w:rsid w:val="00FC0602"/>
    <w:rsid w:val="00FC5500"/>
    <w:rsid w:val="00FC5DB4"/>
    <w:rsid w:val="00FC6A33"/>
    <w:rsid w:val="00FD1F2F"/>
    <w:rsid w:val="00FE1CD2"/>
    <w:rsid w:val="18FD69EC"/>
    <w:rsid w:val="43DAE49C"/>
    <w:rsid w:val="5F7F80F0"/>
    <w:rsid w:val="6FF7745F"/>
    <w:rsid w:val="711D592C"/>
    <w:rsid w:val="7EB5CAFF"/>
    <w:rsid w:val="7F5E6BAC"/>
    <w:rsid w:val="BCB38545"/>
    <w:rsid w:val="BFA9F846"/>
    <w:rsid w:val="D6FC0384"/>
    <w:rsid w:val="D93FB489"/>
    <w:rsid w:val="F3B35B66"/>
    <w:rsid w:val="FB773F1F"/>
    <w:rsid w:val="FFFFF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line="560" w:lineRule="exact"/>
      <w:textAlignment w:val="baseline"/>
    </w:pPr>
    <w:rPr>
      <w:rFonts w:ascii="Calibri" w:hAnsi="Calibri" w:cs="Calibri"/>
      <w:b/>
      <w:bCs/>
    </w:rPr>
  </w:style>
  <w:style w:type="paragraph" w:styleId="3">
    <w:name w:val="Plain Text"/>
    <w:basedOn w:val="1"/>
    <w:link w:val="17"/>
    <w:qFormat/>
    <w:uiPriority w:val="99"/>
    <w:rPr>
      <w:rFonts w:ascii="宋体" w:hAnsi="Courier New" w:eastAsia="Times New Roman" w:cs="Courier New"/>
      <w:szCs w:val="21"/>
    </w:rPr>
  </w:style>
  <w:style w:type="paragraph" w:styleId="4">
    <w:name w:val="Date"/>
    <w:basedOn w:val="1"/>
    <w:next w:val="1"/>
    <w:link w:val="16"/>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qFormat/>
    <w:uiPriority w:val="99"/>
    <w:pPr>
      <w:spacing w:beforeAutospacing="1" w:afterAutospacing="1"/>
      <w:jc w:val="left"/>
    </w:pPr>
    <w:rPr>
      <w:rFonts w:ascii="Calibri" w:hAnsi="Calibri"/>
      <w:kern w:val="0"/>
      <w:sz w:val="24"/>
    </w:rPr>
  </w:style>
  <w:style w:type="character" w:styleId="12">
    <w:name w:val="page number"/>
    <w:basedOn w:val="11"/>
    <w:qFormat/>
    <w:uiPriority w:val="0"/>
  </w:style>
  <w:style w:type="paragraph" w:customStyle="1" w:styleId="13">
    <w:name w:val="主题词"/>
    <w:basedOn w:val="1"/>
    <w:qFormat/>
    <w:uiPriority w:val="0"/>
    <w:pPr>
      <w:spacing w:afterLines="50" w:line="600" w:lineRule="exact"/>
    </w:pPr>
    <w:rPr>
      <w:rFonts w:eastAsia="方正小标宋简体"/>
      <w:sz w:val="30"/>
      <w:szCs w:val="20"/>
    </w:rPr>
  </w:style>
  <w:style w:type="character" w:customStyle="1" w:styleId="14">
    <w:name w:val="批注框文本 Char"/>
    <w:link w:val="5"/>
    <w:qFormat/>
    <w:uiPriority w:val="0"/>
    <w:rPr>
      <w:kern w:val="2"/>
      <w:sz w:val="18"/>
      <w:szCs w:val="18"/>
    </w:rPr>
  </w:style>
  <w:style w:type="character" w:customStyle="1" w:styleId="15">
    <w:name w:val="页脚 Char"/>
    <w:link w:val="6"/>
    <w:qFormat/>
    <w:uiPriority w:val="99"/>
    <w:rPr>
      <w:kern w:val="2"/>
      <w:sz w:val="18"/>
      <w:szCs w:val="18"/>
    </w:rPr>
  </w:style>
  <w:style w:type="character" w:customStyle="1" w:styleId="16">
    <w:name w:val="日期 Char"/>
    <w:link w:val="4"/>
    <w:qFormat/>
    <w:uiPriority w:val="0"/>
    <w:rPr>
      <w:kern w:val="2"/>
      <w:sz w:val="21"/>
      <w:szCs w:val="24"/>
    </w:rPr>
  </w:style>
  <w:style w:type="character" w:customStyle="1" w:styleId="17">
    <w:name w:val="纯文本 Char"/>
    <w:link w:val="3"/>
    <w:qFormat/>
    <w:uiPriority w:val="99"/>
    <w:rPr>
      <w:rFonts w:ascii="宋体" w:hAnsi="Courier New" w:eastAsia="Times New Roman" w:cs="Courier New"/>
      <w:kern w:val="2"/>
      <w:sz w:val="21"/>
      <w:szCs w:val="21"/>
    </w:rPr>
  </w:style>
  <w:style w:type="character" w:customStyle="1" w:styleId="18">
    <w:name w:val="NormalCharacter"/>
    <w:qFormat/>
    <w:uiPriority w:val="0"/>
  </w:style>
  <w:style w:type="character" w:customStyle="1" w:styleId="19">
    <w:name w:val="HTML 预设格式 Char"/>
    <w:basedOn w:val="11"/>
    <w:link w:val="8"/>
    <w:qFormat/>
    <w:uiPriority w:val="99"/>
    <w:rPr>
      <w:rFonts w:ascii="宋体" w:hAnsi="宋体"/>
      <w:sz w:val="24"/>
      <w:szCs w:val="24"/>
    </w:rPr>
  </w:style>
  <w:style w:type="paragraph" w:customStyle="1" w:styleId="20">
    <w:name w:val="newnewnewnewnewnewnew"/>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exi</Company>
  <Pages>7</Pages>
  <Words>546</Words>
  <Characters>3116</Characters>
  <Lines>25</Lines>
  <Paragraphs>7</Paragraphs>
  <TotalTime>229</TotalTime>
  <ScaleCrop>false</ScaleCrop>
  <LinksUpToDate>false</LinksUpToDate>
  <CharactersWithSpaces>3655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2022-01-09T17:33:00Z</dcterms:created>
  <dc:creator>管理员</dc:creator>
  <cp:lastModifiedBy>user</cp:lastModifiedBy>
  <cp:lastPrinted>2023-01-29T22:19:00Z</cp:lastPrinted>
  <dcterms:modified xsi:type="dcterms:W3CDTF">2023-01-30T09:30:08Z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